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62D3" w:rsidRPr="00ED4576" w:rsidRDefault="00D162D3" w:rsidP="004A762A">
      <w:pPr>
        <w:spacing w:after="0"/>
        <w:contextualSpacing/>
        <w:rPr>
          <w:rFonts w:cstheme="minorHAnsi"/>
        </w:rPr>
      </w:pPr>
    </w:p>
    <w:p w:rsidR="00125F96" w:rsidRPr="00ED4576" w:rsidRDefault="00B83441" w:rsidP="004A762A">
      <w:pPr>
        <w:spacing w:after="0"/>
        <w:contextualSpacing/>
        <w:rPr>
          <w:rFonts w:cstheme="minorHAnsi"/>
        </w:rPr>
      </w:pPr>
      <w:r w:rsidRPr="00ED4576">
        <w:rPr>
          <w:rFonts w:cstheme="minorHAnsi"/>
        </w:rPr>
        <w:t>Students in the MS program are required to complete a total of 54.0 units</w:t>
      </w:r>
      <w:r w:rsidR="00125F96" w:rsidRPr="00ED4576">
        <w:rPr>
          <w:rFonts w:cstheme="minorHAnsi"/>
        </w:rPr>
        <w:t xml:space="preserve"> comprised of </w:t>
      </w:r>
      <w:r w:rsidR="00A110F9" w:rsidRPr="00ED4576">
        <w:rPr>
          <w:rFonts w:cstheme="minorHAnsi"/>
        </w:rPr>
        <w:t>12.0</w:t>
      </w:r>
      <w:r w:rsidR="00125F96" w:rsidRPr="00ED4576">
        <w:rPr>
          <w:rFonts w:cstheme="minorHAnsi"/>
        </w:rPr>
        <w:t xml:space="preserve"> units</w:t>
      </w:r>
      <w:r w:rsidRPr="00ED4576">
        <w:rPr>
          <w:rFonts w:cstheme="minorHAnsi"/>
        </w:rPr>
        <w:t xml:space="preserve"> of core science</w:t>
      </w:r>
      <w:r w:rsidR="00726151" w:rsidRPr="00ED4576">
        <w:rPr>
          <w:rFonts w:cstheme="minorHAnsi"/>
        </w:rPr>
        <w:t xml:space="preserve"> (300 level courses)</w:t>
      </w:r>
      <w:r w:rsidR="00125F96" w:rsidRPr="00ED4576">
        <w:rPr>
          <w:rFonts w:cstheme="minorHAnsi"/>
        </w:rPr>
        <w:t>, 3.0 units of professional development</w:t>
      </w:r>
      <w:r w:rsidRPr="00ED4576">
        <w:rPr>
          <w:rFonts w:cstheme="minorHAnsi"/>
        </w:rPr>
        <w:t xml:space="preserve">, </w:t>
      </w:r>
      <w:r w:rsidR="00125F96" w:rsidRPr="00ED4576">
        <w:rPr>
          <w:rFonts w:cstheme="minorHAnsi"/>
        </w:rPr>
        <w:t xml:space="preserve">18.0 units of </w:t>
      </w:r>
      <w:r w:rsidRPr="00ED4576">
        <w:rPr>
          <w:rFonts w:cstheme="minorHAnsi"/>
        </w:rPr>
        <w:t>advanced technical</w:t>
      </w:r>
      <w:r w:rsidR="00125F96" w:rsidRPr="00ED4576">
        <w:rPr>
          <w:rFonts w:cstheme="minorHAnsi"/>
        </w:rPr>
        <w:t xml:space="preserve"> electives</w:t>
      </w:r>
      <w:r w:rsidR="00726151" w:rsidRPr="00ED4576">
        <w:rPr>
          <w:rFonts w:cstheme="minorHAnsi"/>
        </w:rPr>
        <w:t xml:space="preserve"> (400 level courses)</w:t>
      </w:r>
      <w:r w:rsidR="00125F96" w:rsidRPr="00ED4576">
        <w:rPr>
          <w:rFonts w:cstheme="minorHAnsi"/>
        </w:rPr>
        <w:t xml:space="preserve">, </w:t>
      </w:r>
      <w:r w:rsidRPr="00ED4576">
        <w:rPr>
          <w:rFonts w:cstheme="minorHAnsi"/>
        </w:rPr>
        <w:t>and</w:t>
      </w:r>
      <w:r w:rsidR="00125F96" w:rsidRPr="00ED4576">
        <w:rPr>
          <w:rFonts w:cstheme="minorHAnsi"/>
        </w:rPr>
        <w:t xml:space="preserve"> 21.0 units of general</w:t>
      </w:r>
      <w:r w:rsidRPr="00ED4576">
        <w:rPr>
          <w:rFonts w:cstheme="minorHAnsi"/>
        </w:rPr>
        <w:t xml:space="preserve"> elective courses</w:t>
      </w:r>
      <w:r w:rsidR="00125F96" w:rsidRPr="00ED4576">
        <w:rPr>
          <w:rFonts w:cstheme="minorHAnsi"/>
        </w:rPr>
        <w:t xml:space="preserve"> </w:t>
      </w:r>
      <w:r w:rsidR="00726151" w:rsidRPr="00ED4576">
        <w:rPr>
          <w:rFonts w:cstheme="minorHAnsi"/>
        </w:rPr>
        <w:t xml:space="preserve">(300 or 400 level) </w:t>
      </w:r>
      <w:r w:rsidR="007133B5" w:rsidRPr="00ED4576">
        <w:rPr>
          <w:rFonts w:cstheme="minorHAnsi"/>
        </w:rPr>
        <w:t>selected from</w:t>
      </w:r>
      <w:r w:rsidR="003F1512" w:rsidRPr="00ED4576">
        <w:rPr>
          <w:rFonts w:cstheme="minorHAnsi"/>
        </w:rPr>
        <w:t xml:space="preserve"> </w:t>
      </w:r>
      <w:r w:rsidRPr="00ED4576">
        <w:rPr>
          <w:rFonts w:cstheme="minorHAnsi"/>
        </w:rPr>
        <w:t>introductory or advance</w:t>
      </w:r>
      <w:r w:rsidR="003F1512" w:rsidRPr="00ED4576">
        <w:rPr>
          <w:rFonts w:cstheme="minorHAnsi"/>
        </w:rPr>
        <w:t xml:space="preserve">d </w:t>
      </w:r>
      <w:r w:rsidR="00726151" w:rsidRPr="00ED4576">
        <w:rPr>
          <w:rFonts w:cstheme="minorHAnsi"/>
        </w:rPr>
        <w:t>technical</w:t>
      </w:r>
      <w:r w:rsidR="003F1512" w:rsidRPr="00ED4576">
        <w:rPr>
          <w:rFonts w:cstheme="minorHAnsi"/>
        </w:rPr>
        <w:t xml:space="preserve"> or </w:t>
      </w:r>
      <w:r w:rsidR="00726151" w:rsidRPr="00ED4576">
        <w:rPr>
          <w:rFonts w:cstheme="minorHAnsi"/>
        </w:rPr>
        <w:t>business</w:t>
      </w:r>
      <w:r w:rsidR="003F1512" w:rsidRPr="00ED4576">
        <w:rPr>
          <w:rFonts w:cstheme="minorHAnsi"/>
        </w:rPr>
        <w:t xml:space="preserve"> courses</w:t>
      </w:r>
      <w:r w:rsidR="007133B5" w:rsidRPr="00ED4576">
        <w:rPr>
          <w:rFonts w:cstheme="minorHAnsi"/>
        </w:rPr>
        <w:t xml:space="preserve">, and </w:t>
      </w:r>
      <w:r w:rsidRPr="00ED4576">
        <w:rPr>
          <w:rFonts w:cstheme="minorHAnsi"/>
        </w:rPr>
        <w:t xml:space="preserve">capstone opportunities </w:t>
      </w:r>
      <w:r w:rsidR="007133B5" w:rsidRPr="00ED4576">
        <w:rPr>
          <w:rFonts w:cstheme="minorHAnsi"/>
        </w:rPr>
        <w:t>such as the</w:t>
      </w:r>
      <w:r w:rsidRPr="00ED4576">
        <w:rPr>
          <w:rFonts w:cstheme="minorHAnsi"/>
        </w:rPr>
        <w:t xml:space="preserve"> Team Masters Pro</w:t>
      </w:r>
      <w:r w:rsidR="007133B5" w:rsidRPr="00ED4576">
        <w:rPr>
          <w:rFonts w:cstheme="minorHAnsi"/>
        </w:rPr>
        <w:t xml:space="preserve">ject, </w:t>
      </w:r>
      <w:r w:rsidR="00726151" w:rsidRPr="00ED4576">
        <w:rPr>
          <w:rFonts w:cstheme="minorHAnsi"/>
        </w:rPr>
        <w:t>Independent Research</w:t>
      </w:r>
      <w:r w:rsidR="007133B5" w:rsidRPr="00ED4576">
        <w:rPr>
          <w:rFonts w:cstheme="minorHAnsi"/>
        </w:rPr>
        <w:t xml:space="preserve">, or Research Thesis Capstone. </w:t>
      </w:r>
      <w:r w:rsidR="00726151" w:rsidRPr="00ED4576">
        <w:rPr>
          <w:rFonts w:cstheme="minorHAnsi"/>
        </w:rPr>
        <w:t xml:space="preserve"> </w:t>
      </w:r>
    </w:p>
    <w:p w:rsidR="00CC4664" w:rsidRPr="00ED4576" w:rsidRDefault="00CC4664" w:rsidP="004A762A">
      <w:pPr>
        <w:spacing w:before="100"/>
        <w:rPr>
          <w:rFonts w:cstheme="minorHAnsi"/>
          <w:b/>
        </w:rPr>
      </w:pPr>
      <w:r w:rsidRPr="00ED4576">
        <w:rPr>
          <w:rFonts w:cstheme="minorHAnsi"/>
          <w:b/>
        </w:rPr>
        <w:t>A summary of the MS curriculum is as follows:</w:t>
      </w:r>
    </w:p>
    <w:tbl>
      <w:tblPr>
        <w:tblStyle w:val="TableGrid"/>
        <w:tblW w:w="0" w:type="auto"/>
        <w:jc w:val="center"/>
        <w:tblLook w:val="04A0" w:firstRow="1" w:lastRow="0" w:firstColumn="1" w:lastColumn="0" w:noHBand="0" w:noVBand="1"/>
      </w:tblPr>
      <w:tblGrid>
        <w:gridCol w:w="4405"/>
        <w:gridCol w:w="1355"/>
        <w:gridCol w:w="270"/>
        <w:gridCol w:w="3235"/>
        <w:gridCol w:w="1445"/>
      </w:tblGrid>
      <w:tr w:rsidR="00A110F9" w:rsidRPr="00ED4576" w:rsidTr="00ED4576">
        <w:trPr>
          <w:jc w:val="center"/>
        </w:trPr>
        <w:tc>
          <w:tcPr>
            <w:tcW w:w="5760" w:type="dxa"/>
            <w:gridSpan w:val="2"/>
            <w:shd w:val="clear" w:color="auto" w:fill="F2F2F2" w:themeFill="background1" w:themeFillShade="F2"/>
          </w:tcPr>
          <w:p w:rsidR="00A110F9" w:rsidRPr="00ED4576" w:rsidRDefault="00A110F9" w:rsidP="006954F9">
            <w:pPr>
              <w:jc w:val="center"/>
              <w:rPr>
                <w:rFonts w:cstheme="minorHAnsi"/>
                <w:b/>
              </w:rPr>
            </w:pPr>
            <w:r w:rsidRPr="00ED4576">
              <w:rPr>
                <w:rFonts w:cstheme="minorHAnsi"/>
                <w:b/>
              </w:rPr>
              <w:t>MS without Research Thesis Option</w:t>
            </w:r>
          </w:p>
        </w:tc>
        <w:tc>
          <w:tcPr>
            <w:tcW w:w="270" w:type="dxa"/>
            <w:tcBorders>
              <w:top w:val="nil"/>
              <w:bottom w:val="nil"/>
            </w:tcBorders>
            <w:shd w:val="clear" w:color="auto" w:fill="auto"/>
          </w:tcPr>
          <w:p w:rsidR="00A110F9" w:rsidRPr="00ED4576" w:rsidRDefault="00A110F9" w:rsidP="006954F9">
            <w:pPr>
              <w:jc w:val="center"/>
              <w:rPr>
                <w:rFonts w:cstheme="minorHAnsi"/>
              </w:rPr>
            </w:pPr>
          </w:p>
        </w:tc>
        <w:tc>
          <w:tcPr>
            <w:tcW w:w="4680" w:type="dxa"/>
            <w:gridSpan w:val="2"/>
            <w:shd w:val="clear" w:color="auto" w:fill="F2F2F2" w:themeFill="background1" w:themeFillShade="F2"/>
          </w:tcPr>
          <w:p w:rsidR="00A110F9" w:rsidRPr="00ED4576" w:rsidRDefault="00A110F9" w:rsidP="006954F9">
            <w:pPr>
              <w:jc w:val="center"/>
              <w:rPr>
                <w:rFonts w:cstheme="minorHAnsi"/>
                <w:b/>
              </w:rPr>
            </w:pPr>
            <w:r w:rsidRPr="00ED4576">
              <w:rPr>
                <w:rFonts w:cstheme="minorHAnsi"/>
                <w:b/>
              </w:rPr>
              <w:t>MS with Research Thesis Option</w:t>
            </w:r>
          </w:p>
        </w:tc>
      </w:tr>
      <w:tr w:rsidR="00A110F9" w:rsidRPr="00ED4576" w:rsidTr="00ED4576">
        <w:trPr>
          <w:jc w:val="center"/>
        </w:trPr>
        <w:tc>
          <w:tcPr>
            <w:tcW w:w="4405" w:type="dxa"/>
          </w:tcPr>
          <w:p w:rsidR="00A110F9" w:rsidRPr="00ED4576" w:rsidRDefault="00A110F9" w:rsidP="006954F9">
            <w:pPr>
              <w:rPr>
                <w:rFonts w:cstheme="minorHAnsi"/>
              </w:rPr>
            </w:pPr>
            <w:r w:rsidRPr="00ED4576">
              <w:rPr>
                <w:rFonts w:cstheme="minorHAnsi"/>
              </w:rPr>
              <w:t>Core Science</w:t>
            </w:r>
          </w:p>
        </w:tc>
        <w:tc>
          <w:tcPr>
            <w:tcW w:w="1355" w:type="dxa"/>
          </w:tcPr>
          <w:p w:rsidR="00A110F9" w:rsidRPr="00ED4576" w:rsidRDefault="00A110F9" w:rsidP="006954F9">
            <w:pPr>
              <w:jc w:val="center"/>
              <w:rPr>
                <w:rFonts w:cstheme="minorHAnsi"/>
              </w:rPr>
            </w:pPr>
            <w:r w:rsidRPr="00ED4576">
              <w:rPr>
                <w:rFonts w:cstheme="minorHAnsi"/>
              </w:rPr>
              <w:t>12.0 units</w:t>
            </w:r>
          </w:p>
        </w:tc>
        <w:tc>
          <w:tcPr>
            <w:tcW w:w="270" w:type="dxa"/>
            <w:tcBorders>
              <w:top w:val="nil"/>
              <w:bottom w:val="nil"/>
            </w:tcBorders>
            <w:shd w:val="clear" w:color="auto" w:fill="auto"/>
          </w:tcPr>
          <w:p w:rsidR="00A110F9" w:rsidRPr="00ED4576" w:rsidRDefault="00A110F9" w:rsidP="006954F9">
            <w:pPr>
              <w:jc w:val="center"/>
              <w:rPr>
                <w:rFonts w:cstheme="minorHAnsi"/>
              </w:rPr>
            </w:pPr>
          </w:p>
        </w:tc>
        <w:tc>
          <w:tcPr>
            <w:tcW w:w="3235" w:type="dxa"/>
          </w:tcPr>
          <w:p w:rsidR="00A110F9" w:rsidRPr="00ED4576" w:rsidRDefault="00A110F9" w:rsidP="006954F9">
            <w:pPr>
              <w:rPr>
                <w:rFonts w:cstheme="minorHAnsi"/>
              </w:rPr>
            </w:pPr>
            <w:r w:rsidRPr="00ED4576">
              <w:rPr>
                <w:rFonts w:cstheme="minorHAnsi"/>
              </w:rPr>
              <w:t>Core Science</w:t>
            </w:r>
          </w:p>
        </w:tc>
        <w:tc>
          <w:tcPr>
            <w:tcW w:w="1445" w:type="dxa"/>
          </w:tcPr>
          <w:p w:rsidR="00A110F9" w:rsidRPr="00ED4576" w:rsidRDefault="00A110F9" w:rsidP="006954F9">
            <w:pPr>
              <w:jc w:val="center"/>
              <w:rPr>
                <w:rFonts w:cstheme="minorHAnsi"/>
              </w:rPr>
            </w:pPr>
            <w:r w:rsidRPr="00ED4576">
              <w:rPr>
                <w:rFonts w:cstheme="minorHAnsi"/>
              </w:rPr>
              <w:t>12.0 units</w:t>
            </w:r>
          </w:p>
        </w:tc>
      </w:tr>
      <w:tr w:rsidR="00A110F9" w:rsidRPr="00ED4576" w:rsidTr="00ED4576">
        <w:trPr>
          <w:jc w:val="center"/>
        </w:trPr>
        <w:tc>
          <w:tcPr>
            <w:tcW w:w="4405" w:type="dxa"/>
          </w:tcPr>
          <w:p w:rsidR="00A110F9" w:rsidRPr="00ED4576" w:rsidRDefault="00A110F9" w:rsidP="006954F9">
            <w:pPr>
              <w:rPr>
                <w:rFonts w:cstheme="minorHAnsi"/>
              </w:rPr>
            </w:pPr>
            <w:r w:rsidRPr="00ED4576">
              <w:rPr>
                <w:rFonts w:cstheme="minorHAnsi"/>
              </w:rPr>
              <w:t>Professional Development</w:t>
            </w:r>
          </w:p>
        </w:tc>
        <w:tc>
          <w:tcPr>
            <w:tcW w:w="1355" w:type="dxa"/>
          </w:tcPr>
          <w:p w:rsidR="00A110F9" w:rsidRPr="00ED4576" w:rsidRDefault="00A110F9" w:rsidP="006954F9">
            <w:pPr>
              <w:jc w:val="center"/>
              <w:rPr>
                <w:rFonts w:cstheme="minorHAnsi"/>
              </w:rPr>
            </w:pPr>
            <w:r w:rsidRPr="00ED4576">
              <w:rPr>
                <w:rFonts w:cstheme="minorHAnsi"/>
              </w:rPr>
              <w:t>3.0 units</w:t>
            </w:r>
          </w:p>
        </w:tc>
        <w:tc>
          <w:tcPr>
            <w:tcW w:w="270" w:type="dxa"/>
            <w:tcBorders>
              <w:top w:val="nil"/>
              <w:bottom w:val="nil"/>
            </w:tcBorders>
            <w:shd w:val="clear" w:color="auto" w:fill="auto"/>
          </w:tcPr>
          <w:p w:rsidR="00A110F9" w:rsidRPr="00ED4576" w:rsidRDefault="00A110F9" w:rsidP="006954F9">
            <w:pPr>
              <w:jc w:val="center"/>
              <w:rPr>
                <w:rFonts w:cstheme="minorHAnsi"/>
              </w:rPr>
            </w:pPr>
          </w:p>
        </w:tc>
        <w:tc>
          <w:tcPr>
            <w:tcW w:w="3235" w:type="dxa"/>
          </w:tcPr>
          <w:p w:rsidR="00A110F9" w:rsidRPr="00ED4576" w:rsidRDefault="00A110F9" w:rsidP="006954F9">
            <w:pPr>
              <w:rPr>
                <w:rFonts w:cstheme="minorHAnsi"/>
              </w:rPr>
            </w:pPr>
            <w:r w:rsidRPr="00ED4576">
              <w:rPr>
                <w:rFonts w:cstheme="minorHAnsi"/>
              </w:rPr>
              <w:t>Professional Development</w:t>
            </w:r>
          </w:p>
        </w:tc>
        <w:tc>
          <w:tcPr>
            <w:tcW w:w="1445" w:type="dxa"/>
          </w:tcPr>
          <w:p w:rsidR="00A110F9" w:rsidRPr="00ED4576" w:rsidRDefault="00A110F9" w:rsidP="006954F9">
            <w:pPr>
              <w:jc w:val="center"/>
              <w:rPr>
                <w:rFonts w:cstheme="minorHAnsi"/>
              </w:rPr>
            </w:pPr>
            <w:r w:rsidRPr="00ED4576">
              <w:rPr>
                <w:rFonts w:cstheme="minorHAnsi"/>
              </w:rPr>
              <w:t>3.0 units</w:t>
            </w:r>
          </w:p>
        </w:tc>
      </w:tr>
      <w:tr w:rsidR="00A110F9" w:rsidRPr="00ED4576" w:rsidTr="00ED4576">
        <w:trPr>
          <w:jc w:val="center"/>
        </w:trPr>
        <w:tc>
          <w:tcPr>
            <w:tcW w:w="4405" w:type="dxa"/>
          </w:tcPr>
          <w:p w:rsidR="00A110F9" w:rsidRPr="00ED4576" w:rsidRDefault="00A110F9" w:rsidP="006954F9">
            <w:pPr>
              <w:rPr>
                <w:rFonts w:cstheme="minorHAnsi"/>
              </w:rPr>
            </w:pPr>
            <w:r w:rsidRPr="00ED4576">
              <w:rPr>
                <w:rFonts w:cstheme="minorHAnsi"/>
              </w:rPr>
              <w:t>Advanced Technical Electives</w:t>
            </w:r>
          </w:p>
        </w:tc>
        <w:tc>
          <w:tcPr>
            <w:tcW w:w="1355" w:type="dxa"/>
          </w:tcPr>
          <w:p w:rsidR="00A110F9" w:rsidRPr="00ED4576" w:rsidRDefault="00A110F9" w:rsidP="006954F9">
            <w:pPr>
              <w:jc w:val="center"/>
              <w:rPr>
                <w:rFonts w:cstheme="minorHAnsi"/>
              </w:rPr>
            </w:pPr>
            <w:r w:rsidRPr="00ED4576">
              <w:rPr>
                <w:rFonts w:cstheme="minorHAnsi"/>
              </w:rPr>
              <w:t>18.0 units</w:t>
            </w:r>
          </w:p>
        </w:tc>
        <w:tc>
          <w:tcPr>
            <w:tcW w:w="270" w:type="dxa"/>
            <w:tcBorders>
              <w:top w:val="nil"/>
              <w:bottom w:val="nil"/>
            </w:tcBorders>
            <w:shd w:val="clear" w:color="auto" w:fill="auto"/>
          </w:tcPr>
          <w:p w:rsidR="00A110F9" w:rsidRPr="00ED4576" w:rsidRDefault="00A110F9" w:rsidP="006954F9">
            <w:pPr>
              <w:jc w:val="center"/>
              <w:rPr>
                <w:rFonts w:cstheme="minorHAnsi"/>
              </w:rPr>
            </w:pPr>
          </w:p>
        </w:tc>
        <w:tc>
          <w:tcPr>
            <w:tcW w:w="3235" w:type="dxa"/>
          </w:tcPr>
          <w:p w:rsidR="00A110F9" w:rsidRPr="00ED4576" w:rsidRDefault="00A110F9" w:rsidP="006954F9">
            <w:pPr>
              <w:rPr>
                <w:rFonts w:cstheme="minorHAnsi"/>
              </w:rPr>
            </w:pPr>
            <w:r w:rsidRPr="00ED4576">
              <w:rPr>
                <w:rFonts w:cstheme="minorHAnsi"/>
              </w:rPr>
              <w:t>Advanced Technical Electives</w:t>
            </w:r>
          </w:p>
        </w:tc>
        <w:tc>
          <w:tcPr>
            <w:tcW w:w="1445" w:type="dxa"/>
          </w:tcPr>
          <w:p w:rsidR="00A110F9" w:rsidRPr="00ED4576" w:rsidRDefault="00A110F9" w:rsidP="006954F9">
            <w:pPr>
              <w:jc w:val="center"/>
              <w:rPr>
                <w:rFonts w:cstheme="minorHAnsi"/>
              </w:rPr>
            </w:pPr>
            <w:r w:rsidRPr="00ED4576">
              <w:rPr>
                <w:rFonts w:cstheme="minorHAnsi"/>
              </w:rPr>
              <w:t>18.0 units</w:t>
            </w:r>
          </w:p>
        </w:tc>
      </w:tr>
      <w:tr w:rsidR="00A110F9" w:rsidRPr="00ED4576" w:rsidTr="00ED4576">
        <w:trPr>
          <w:jc w:val="center"/>
        </w:trPr>
        <w:tc>
          <w:tcPr>
            <w:tcW w:w="4405" w:type="dxa"/>
          </w:tcPr>
          <w:p w:rsidR="00A110F9" w:rsidRPr="00ED4576" w:rsidRDefault="00A110F9" w:rsidP="006954F9">
            <w:pPr>
              <w:rPr>
                <w:rFonts w:cstheme="minorHAnsi"/>
              </w:rPr>
            </w:pPr>
            <w:r w:rsidRPr="00ED4576">
              <w:rPr>
                <w:rFonts w:cstheme="minorHAnsi"/>
              </w:rPr>
              <w:t>General Electives (including optional capstone)</w:t>
            </w:r>
          </w:p>
        </w:tc>
        <w:tc>
          <w:tcPr>
            <w:tcW w:w="1355" w:type="dxa"/>
          </w:tcPr>
          <w:p w:rsidR="00A110F9" w:rsidRPr="00ED4576" w:rsidRDefault="00A110F9" w:rsidP="006954F9">
            <w:pPr>
              <w:jc w:val="center"/>
              <w:rPr>
                <w:rFonts w:cstheme="minorHAnsi"/>
              </w:rPr>
            </w:pPr>
            <w:r w:rsidRPr="00ED4576">
              <w:rPr>
                <w:rFonts w:cstheme="minorHAnsi"/>
              </w:rPr>
              <w:t>21.0 units</w:t>
            </w:r>
          </w:p>
        </w:tc>
        <w:tc>
          <w:tcPr>
            <w:tcW w:w="270" w:type="dxa"/>
            <w:tcBorders>
              <w:top w:val="nil"/>
              <w:bottom w:val="nil"/>
            </w:tcBorders>
            <w:shd w:val="clear" w:color="auto" w:fill="auto"/>
          </w:tcPr>
          <w:p w:rsidR="00A110F9" w:rsidRPr="00ED4576" w:rsidRDefault="00A110F9" w:rsidP="006954F9">
            <w:pPr>
              <w:jc w:val="center"/>
              <w:rPr>
                <w:rFonts w:cstheme="minorHAnsi"/>
              </w:rPr>
            </w:pPr>
          </w:p>
        </w:tc>
        <w:tc>
          <w:tcPr>
            <w:tcW w:w="3235" w:type="dxa"/>
          </w:tcPr>
          <w:p w:rsidR="00A110F9" w:rsidRPr="00ED4576" w:rsidRDefault="00A110F9" w:rsidP="006954F9">
            <w:pPr>
              <w:rPr>
                <w:rFonts w:cstheme="minorHAnsi"/>
              </w:rPr>
            </w:pPr>
            <w:r w:rsidRPr="00ED4576">
              <w:rPr>
                <w:rFonts w:cstheme="minorHAnsi"/>
              </w:rPr>
              <w:t>Research Thesis Capstone</w:t>
            </w:r>
          </w:p>
        </w:tc>
        <w:tc>
          <w:tcPr>
            <w:tcW w:w="1445" w:type="dxa"/>
          </w:tcPr>
          <w:p w:rsidR="00A110F9" w:rsidRPr="00ED4576" w:rsidRDefault="00A110F9" w:rsidP="006954F9">
            <w:pPr>
              <w:jc w:val="center"/>
              <w:rPr>
                <w:rFonts w:cstheme="minorHAnsi"/>
              </w:rPr>
            </w:pPr>
            <w:r w:rsidRPr="00ED4576">
              <w:rPr>
                <w:rFonts w:cstheme="minorHAnsi"/>
              </w:rPr>
              <w:t>12.0 units</w:t>
            </w:r>
          </w:p>
        </w:tc>
      </w:tr>
      <w:tr w:rsidR="00A110F9" w:rsidRPr="00ED4576" w:rsidTr="00ED4576">
        <w:trPr>
          <w:jc w:val="center"/>
        </w:trPr>
        <w:tc>
          <w:tcPr>
            <w:tcW w:w="4405" w:type="dxa"/>
          </w:tcPr>
          <w:p w:rsidR="00A110F9" w:rsidRPr="00ED4576" w:rsidRDefault="00A110F9" w:rsidP="006954F9">
            <w:pPr>
              <w:rPr>
                <w:rFonts w:cstheme="minorHAnsi"/>
              </w:rPr>
            </w:pPr>
          </w:p>
        </w:tc>
        <w:tc>
          <w:tcPr>
            <w:tcW w:w="1355" w:type="dxa"/>
          </w:tcPr>
          <w:p w:rsidR="00A110F9" w:rsidRPr="00ED4576" w:rsidRDefault="00A110F9" w:rsidP="006954F9">
            <w:pPr>
              <w:jc w:val="center"/>
              <w:rPr>
                <w:rFonts w:cstheme="minorHAnsi"/>
              </w:rPr>
            </w:pPr>
          </w:p>
        </w:tc>
        <w:tc>
          <w:tcPr>
            <w:tcW w:w="270" w:type="dxa"/>
            <w:tcBorders>
              <w:top w:val="nil"/>
              <w:bottom w:val="nil"/>
            </w:tcBorders>
            <w:shd w:val="clear" w:color="auto" w:fill="auto"/>
          </w:tcPr>
          <w:p w:rsidR="00A110F9" w:rsidRPr="00ED4576" w:rsidRDefault="00A110F9" w:rsidP="006954F9">
            <w:pPr>
              <w:jc w:val="center"/>
              <w:rPr>
                <w:rFonts w:cstheme="minorHAnsi"/>
              </w:rPr>
            </w:pPr>
          </w:p>
        </w:tc>
        <w:tc>
          <w:tcPr>
            <w:tcW w:w="3235" w:type="dxa"/>
          </w:tcPr>
          <w:p w:rsidR="00A110F9" w:rsidRPr="00ED4576" w:rsidRDefault="00A110F9" w:rsidP="006954F9">
            <w:pPr>
              <w:rPr>
                <w:rFonts w:cstheme="minorHAnsi"/>
              </w:rPr>
            </w:pPr>
            <w:r w:rsidRPr="00ED4576">
              <w:rPr>
                <w:rFonts w:cstheme="minorHAnsi"/>
              </w:rPr>
              <w:t>General Electives</w:t>
            </w:r>
          </w:p>
        </w:tc>
        <w:tc>
          <w:tcPr>
            <w:tcW w:w="1445" w:type="dxa"/>
          </w:tcPr>
          <w:p w:rsidR="00A110F9" w:rsidRPr="00ED4576" w:rsidRDefault="00A110F9" w:rsidP="006954F9">
            <w:pPr>
              <w:jc w:val="center"/>
              <w:rPr>
                <w:rFonts w:cstheme="minorHAnsi"/>
              </w:rPr>
            </w:pPr>
            <w:r w:rsidRPr="00ED4576">
              <w:rPr>
                <w:rFonts w:cstheme="minorHAnsi"/>
              </w:rPr>
              <w:t>9.0 units</w:t>
            </w:r>
          </w:p>
        </w:tc>
      </w:tr>
      <w:tr w:rsidR="00A110F9" w:rsidRPr="00ED4576" w:rsidTr="00ED4576">
        <w:trPr>
          <w:jc w:val="center"/>
        </w:trPr>
        <w:tc>
          <w:tcPr>
            <w:tcW w:w="4405" w:type="dxa"/>
            <w:shd w:val="clear" w:color="auto" w:fill="F2F2F2" w:themeFill="background1" w:themeFillShade="F2"/>
          </w:tcPr>
          <w:p w:rsidR="00A110F9" w:rsidRPr="00ED4576" w:rsidRDefault="00A110F9" w:rsidP="006954F9">
            <w:pPr>
              <w:rPr>
                <w:rFonts w:cstheme="minorHAnsi"/>
                <w:b/>
              </w:rPr>
            </w:pPr>
            <w:r w:rsidRPr="00ED4576">
              <w:rPr>
                <w:rFonts w:cstheme="minorHAnsi"/>
                <w:b/>
              </w:rPr>
              <w:t>Total</w:t>
            </w:r>
          </w:p>
        </w:tc>
        <w:tc>
          <w:tcPr>
            <w:tcW w:w="1355" w:type="dxa"/>
            <w:shd w:val="clear" w:color="auto" w:fill="F2F2F2" w:themeFill="background1" w:themeFillShade="F2"/>
          </w:tcPr>
          <w:p w:rsidR="00A110F9" w:rsidRPr="00ED4576" w:rsidRDefault="00A110F9" w:rsidP="006954F9">
            <w:pPr>
              <w:jc w:val="center"/>
              <w:rPr>
                <w:rFonts w:cstheme="minorHAnsi"/>
                <w:b/>
              </w:rPr>
            </w:pPr>
            <w:r w:rsidRPr="00ED4576">
              <w:rPr>
                <w:rFonts w:cstheme="minorHAnsi"/>
                <w:b/>
              </w:rPr>
              <w:t>54.0 units</w:t>
            </w:r>
          </w:p>
        </w:tc>
        <w:tc>
          <w:tcPr>
            <w:tcW w:w="270" w:type="dxa"/>
            <w:tcBorders>
              <w:top w:val="nil"/>
              <w:bottom w:val="nil"/>
            </w:tcBorders>
            <w:shd w:val="clear" w:color="auto" w:fill="auto"/>
          </w:tcPr>
          <w:p w:rsidR="00A110F9" w:rsidRPr="00ED4576" w:rsidRDefault="00A110F9" w:rsidP="006954F9">
            <w:pPr>
              <w:jc w:val="center"/>
              <w:rPr>
                <w:rFonts w:cstheme="minorHAnsi"/>
                <w:b/>
              </w:rPr>
            </w:pPr>
          </w:p>
        </w:tc>
        <w:tc>
          <w:tcPr>
            <w:tcW w:w="3235" w:type="dxa"/>
            <w:shd w:val="clear" w:color="auto" w:fill="F2F2F2" w:themeFill="background1" w:themeFillShade="F2"/>
          </w:tcPr>
          <w:p w:rsidR="00A110F9" w:rsidRPr="00ED4576" w:rsidRDefault="00A110F9" w:rsidP="006954F9">
            <w:pPr>
              <w:rPr>
                <w:rFonts w:cstheme="minorHAnsi"/>
                <w:b/>
              </w:rPr>
            </w:pPr>
            <w:r w:rsidRPr="00ED4576">
              <w:rPr>
                <w:rFonts w:cstheme="minorHAnsi"/>
                <w:b/>
              </w:rPr>
              <w:t>Total</w:t>
            </w:r>
          </w:p>
        </w:tc>
        <w:tc>
          <w:tcPr>
            <w:tcW w:w="1445" w:type="dxa"/>
            <w:shd w:val="clear" w:color="auto" w:fill="F2F2F2" w:themeFill="background1" w:themeFillShade="F2"/>
          </w:tcPr>
          <w:p w:rsidR="00A110F9" w:rsidRPr="00ED4576" w:rsidRDefault="00A110F9" w:rsidP="006954F9">
            <w:pPr>
              <w:jc w:val="center"/>
              <w:rPr>
                <w:rFonts w:cstheme="minorHAnsi"/>
                <w:b/>
              </w:rPr>
            </w:pPr>
            <w:r w:rsidRPr="00ED4576">
              <w:rPr>
                <w:rFonts w:cstheme="minorHAnsi"/>
                <w:b/>
              </w:rPr>
              <w:t>54.0 units</w:t>
            </w:r>
          </w:p>
        </w:tc>
      </w:tr>
    </w:tbl>
    <w:p w:rsidR="00491767" w:rsidRPr="00ED4576" w:rsidRDefault="00B83441" w:rsidP="00B83441">
      <w:pPr>
        <w:spacing w:before="160"/>
        <w:rPr>
          <w:rFonts w:cstheme="minorHAnsi"/>
        </w:rPr>
      </w:pPr>
      <w:r w:rsidRPr="00ED4576">
        <w:rPr>
          <w:rFonts w:cstheme="minorHAnsi"/>
          <w:b/>
        </w:rPr>
        <w:t xml:space="preserve">Core Science Courses: </w:t>
      </w:r>
      <w:r w:rsidRPr="00ED4576">
        <w:rPr>
          <w:rFonts w:cstheme="minorHAnsi"/>
        </w:rPr>
        <w:t>All students must complete the core courses in order to complete the MS degree.</w:t>
      </w:r>
      <w:r w:rsidR="00A110F9" w:rsidRPr="00ED4576">
        <w:rPr>
          <w:rFonts w:cstheme="minorHAnsi"/>
        </w:rPr>
        <w:t xml:space="preserve">  The ALS 342 requirement will be waived for students who pass the initial statistics assessment. Waived units must be replaced with general elective units. </w:t>
      </w:r>
    </w:p>
    <w:tbl>
      <w:tblPr>
        <w:tblStyle w:val="TableGrid"/>
        <w:tblW w:w="0" w:type="auto"/>
        <w:jc w:val="center"/>
        <w:tblLook w:val="04A0" w:firstRow="1" w:lastRow="0" w:firstColumn="1" w:lastColumn="0" w:noHBand="0" w:noVBand="1"/>
      </w:tblPr>
      <w:tblGrid>
        <w:gridCol w:w="3685"/>
        <w:gridCol w:w="1260"/>
      </w:tblGrid>
      <w:tr w:rsidR="00491767" w:rsidRPr="00ED4576" w:rsidTr="00125F96">
        <w:trPr>
          <w:jc w:val="center"/>
        </w:trPr>
        <w:tc>
          <w:tcPr>
            <w:tcW w:w="3685" w:type="dxa"/>
          </w:tcPr>
          <w:p w:rsidR="00491767" w:rsidRPr="00ED4576" w:rsidRDefault="00491767" w:rsidP="00595949">
            <w:pPr>
              <w:contextualSpacing/>
              <w:rPr>
                <w:rFonts w:cstheme="minorHAnsi"/>
              </w:rPr>
            </w:pPr>
            <w:r w:rsidRPr="00ED4576">
              <w:rPr>
                <w:rFonts w:cstheme="minorHAnsi"/>
              </w:rPr>
              <w:t>ALS 300 Molecular Bio</w:t>
            </w:r>
            <w:r w:rsidR="00595949" w:rsidRPr="00ED4576">
              <w:rPr>
                <w:rFonts w:cstheme="minorHAnsi"/>
              </w:rPr>
              <w:t>technology</w:t>
            </w:r>
          </w:p>
        </w:tc>
        <w:tc>
          <w:tcPr>
            <w:tcW w:w="1260" w:type="dxa"/>
          </w:tcPr>
          <w:p w:rsidR="00491767" w:rsidRPr="00ED4576" w:rsidRDefault="0047139E" w:rsidP="00B83441">
            <w:pPr>
              <w:contextualSpacing/>
              <w:jc w:val="center"/>
              <w:rPr>
                <w:rFonts w:cstheme="minorHAnsi"/>
              </w:rPr>
            </w:pPr>
            <w:r w:rsidRPr="00ED4576">
              <w:rPr>
                <w:rFonts w:cstheme="minorHAnsi"/>
              </w:rPr>
              <w:t>1.5</w:t>
            </w:r>
            <w:r w:rsidR="00B83441" w:rsidRPr="00ED4576">
              <w:rPr>
                <w:rFonts w:cstheme="minorHAnsi"/>
              </w:rPr>
              <w:t xml:space="preserve"> units</w:t>
            </w:r>
          </w:p>
        </w:tc>
      </w:tr>
      <w:tr w:rsidR="00A110F9" w:rsidRPr="00ED4576" w:rsidTr="00125F96">
        <w:trPr>
          <w:jc w:val="center"/>
        </w:trPr>
        <w:tc>
          <w:tcPr>
            <w:tcW w:w="3685" w:type="dxa"/>
          </w:tcPr>
          <w:p w:rsidR="00A110F9" w:rsidRPr="00ED4576" w:rsidRDefault="00A110F9" w:rsidP="00A110F9">
            <w:pPr>
              <w:contextualSpacing/>
              <w:rPr>
                <w:rFonts w:cstheme="minorHAnsi"/>
              </w:rPr>
            </w:pPr>
            <w:r w:rsidRPr="00ED4576">
              <w:rPr>
                <w:rFonts w:cstheme="minorHAnsi"/>
              </w:rPr>
              <w:t>ALS 320 Medical Diagnostics</w:t>
            </w:r>
          </w:p>
        </w:tc>
        <w:tc>
          <w:tcPr>
            <w:tcW w:w="1260" w:type="dxa"/>
          </w:tcPr>
          <w:p w:rsidR="00A110F9" w:rsidRPr="00ED4576" w:rsidRDefault="00A110F9" w:rsidP="00A110F9">
            <w:pPr>
              <w:contextualSpacing/>
              <w:jc w:val="center"/>
              <w:rPr>
                <w:rFonts w:cstheme="minorHAnsi"/>
              </w:rPr>
            </w:pPr>
            <w:r w:rsidRPr="00ED4576">
              <w:rPr>
                <w:rFonts w:cstheme="minorHAnsi"/>
              </w:rPr>
              <w:t>3.0 units</w:t>
            </w:r>
          </w:p>
        </w:tc>
      </w:tr>
      <w:tr w:rsidR="00A110F9" w:rsidRPr="00ED4576" w:rsidTr="00125F96">
        <w:trPr>
          <w:jc w:val="center"/>
        </w:trPr>
        <w:tc>
          <w:tcPr>
            <w:tcW w:w="3685" w:type="dxa"/>
          </w:tcPr>
          <w:p w:rsidR="00A110F9" w:rsidRPr="00ED4576" w:rsidRDefault="00A110F9" w:rsidP="00A110F9">
            <w:pPr>
              <w:contextualSpacing/>
              <w:rPr>
                <w:rFonts w:cstheme="minorHAnsi"/>
              </w:rPr>
            </w:pPr>
            <w:r w:rsidRPr="00ED4576">
              <w:rPr>
                <w:rFonts w:cstheme="minorHAnsi"/>
              </w:rPr>
              <w:t>ALS 321 Medical Devices</w:t>
            </w:r>
          </w:p>
        </w:tc>
        <w:tc>
          <w:tcPr>
            <w:tcW w:w="1260" w:type="dxa"/>
          </w:tcPr>
          <w:p w:rsidR="00A110F9" w:rsidRPr="00ED4576" w:rsidRDefault="00A110F9" w:rsidP="00A110F9">
            <w:pPr>
              <w:contextualSpacing/>
              <w:jc w:val="center"/>
              <w:rPr>
                <w:rFonts w:cstheme="minorHAnsi"/>
              </w:rPr>
            </w:pPr>
            <w:r w:rsidRPr="00ED4576">
              <w:rPr>
                <w:rFonts w:cstheme="minorHAnsi"/>
              </w:rPr>
              <w:t>3.0 units</w:t>
            </w:r>
          </w:p>
        </w:tc>
      </w:tr>
      <w:tr w:rsidR="00A110F9" w:rsidRPr="00ED4576" w:rsidTr="00125F96">
        <w:trPr>
          <w:jc w:val="center"/>
        </w:trPr>
        <w:tc>
          <w:tcPr>
            <w:tcW w:w="3685" w:type="dxa"/>
          </w:tcPr>
          <w:p w:rsidR="00A110F9" w:rsidRPr="00ED4576" w:rsidRDefault="00A110F9" w:rsidP="00A110F9">
            <w:pPr>
              <w:contextualSpacing/>
              <w:rPr>
                <w:rFonts w:cstheme="minorHAnsi"/>
              </w:rPr>
            </w:pPr>
            <w:r w:rsidRPr="00ED4576">
              <w:rPr>
                <w:rFonts w:cstheme="minorHAnsi"/>
              </w:rPr>
              <w:t xml:space="preserve">ALS 330 Pharmaceuticals Discovery </w:t>
            </w:r>
          </w:p>
        </w:tc>
        <w:tc>
          <w:tcPr>
            <w:tcW w:w="1260" w:type="dxa"/>
          </w:tcPr>
          <w:p w:rsidR="00A110F9" w:rsidRPr="00ED4576" w:rsidRDefault="00A110F9" w:rsidP="00A110F9">
            <w:pPr>
              <w:contextualSpacing/>
              <w:jc w:val="center"/>
              <w:rPr>
                <w:rFonts w:cstheme="minorHAnsi"/>
              </w:rPr>
            </w:pPr>
            <w:r w:rsidRPr="00ED4576">
              <w:rPr>
                <w:rFonts w:cstheme="minorHAnsi"/>
              </w:rPr>
              <w:t>1.5 units</w:t>
            </w:r>
          </w:p>
        </w:tc>
      </w:tr>
      <w:tr w:rsidR="00A110F9" w:rsidRPr="00ED4576" w:rsidTr="00125F96">
        <w:trPr>
          <w:jc w:val="center"/>
        </w:trPr>
        <w:tc>
          <w:tcPr>
            <w:tcW w:w="3685" w:type="dxa"/>
          </w:tcPr>
          <w:p w:rsidR="00A110F9" w:rsidRPr="00ED4576" w:rsidRDefault="00A110F9" w:rsidP="00A110F9">
            <w:pPr>
              <w:contextualSpacing/>
              <w:rPr>
                <w:rFonts w:cstheme="minorHAnsi"/>
              </w:rPr>
            </w:pPr>
            <w:r w:rsidRPr="00ED4576">
              <w:rPr>
                <w:rFonts w:cstheme="minorHAnsi"/>
              </w:rPr>
              <w:t>ALS 333 Pharmaceutical Development</w:t>
            </w:r>
          </w:p>
        </w:tc>
        <w:tc>
          <w:tcPr>
            <w:tcW w:w="1260" w:type="dxa"/>
          </w:tcPr>
          <w:p w:rsidR="00A110F9" w:rsidRPr="00ED4576" w:rsidRDefault="00A110F9" w:rsidP="00A110F9">
            <w:pPr>
              <w:contextualSpacing/>
              <w:jc w:val="center"/>
              <w:rPr>
                <w:rFonts w:cstheme="minorHAnsi"/>
              </w:rPr>
            </w:pPr>
            <w:r w:rsidRPr="00ED4576">
              <w:rPr>
                <w:rFonts w:cstheme="minorHAnsi"/>
              </w:rPr>
              <w:t>1.5 units</w:t>
            </w:r>
          </w:p>
        </w:tc>
      </w:tr>
      <w:tr w:rsidR="00A110F9" w:rsidRPr="00ED4576" w:rsidTr="00125F96">
        <w:trPr>
          <w:jc w:val="center"/>
        </w:trPr>
        <w:tc>
          <w:tcPr>
            <w:tcW w:w="3685" w:type="dxa"/>
          </w:tcPr>
          <w:p w:rsidR="00A110F9" w:rsidRPr="00ED4576" w:rsidRDefault="00A110F9" w:rsidP="00A110F9">
            <w:pPr>
              <w:rPr>
                <w:rFonts w:cstheme="minorHAnsi"/>
              </w:rPr>
            </w:pPr>
            <w:r w:rsidRPr="00ED4576">
              <w:rPr>
                <w:rFonts w:cstheme="minorHAnsi"/>
              </w:rPr>
              <w:t>ALS 342 Applications of Statistics</w:t>
            </w:r>
          </w:p>
        </w:tc>
        <w:tc>
          <w:tcPr>
            <w:tcW w:w="1260" w:type="dxa"/>
          </w:tcPr>
          <w:p w:rsidR="00A110F9" w:rsidRPr="00ED4576" w:rsidRDefault="00A110F9" w:rsidP="00A110F9">
            <w:pPr>
              <w:jc w:val="center"/>
              <w:rPr>
                <w:rFonts w:cstheme="minorHAnsi"/>
              </w:rPr>
            </w:pPr>
            <w:r w:rsidRPr="00ED4576">
              <w:rPr>
                <w:rFonts w:cstheme="minorHAnsi"/>
              </w:rPr>
              <w:t>1.5 units</w:t>
            </w:r>
          </w:p>
        </w:tc>
      </w:tr>
      <w:tr w:rsidR="00A110F9" w:rsidRPr="00ED4576" w:rsidTr="00125F96">
        <w:trPr>
          <w:jc w:val="center"/>
        </w:trPr>
        <w:tc>
          <w:tcPr>
            <w:tcW w:w="3685" w:type="dxa"/>
            <w:shd w:val="clear" w:color="auto" w:fill="F2F2F2" w:themeFill="background1" w:themeFillShade="F2"/>
          </w:tcPr>
          <w:p w:rsidR="00A110F9" w:rsidRPr="00ED4576" w:rsidRDefault="00A110F9" w:rsidP="00A110F9">
            <w:pPr>
              <w:rPr>
                <w:rFonts w:cstheme="minorHAnsi"/>
                <w:b/>
              </w:rPr>
            </w:pPr>
            <w:r w:rsidRPr="00ED4576">
              <w:rPr>
                <w:rFonts w:cstheme="minorHAnsi"/>
                <w:b/>
              </w:rPr>
              <w:t>Total</w:t>
            </w:r>
          </w:p>
        </w:tc>
        <w:tc>
          <w:tcPr>
            <w:tcW w:w="1260" w:type="dxa"/>
            <w:shd w:val="clear" w:color="auto" w:fill="F2F2F2" w:themeFill="background1" w:themeFillShade="F2"/>
          </w:tcPr>
          <w:p w:rsidR="00A110F9" w:rsidRPr="00ED4576" w:rsidRDefault="00A110F9" w:rsidP="00A110F9">
            <w:pPr>
              <w:jc w:val="center"/>
              <w:rPr>
                <w:rFonts w:cstheme="minorHAnsi"/>
                <w:b/>
              </w:rPr>
            </w:pPr>
            <w:r w:rsidRPr="00ED4576">
              <w:rPr>
                <w:rFonts w:cstheme="minorHAnsi"/>
                <w:b/>
              </w:rPr>
              <w:t>12.0 units</w:t>
            </w:r>
          </w:p>
        </w:tc>
      </w:tr>
    </w:tbl>
    <w:p w:rsidR="00125F96" w:rsidRPr="00ED4576" w:rsidRDefault="00125F96" w:rsidP="00125F96">
      <w:pPr>
        <w:spacing w:before="160"/>
        <w:rPr>
          <w:rFonts w:cstheme="minorHAnsi"/>
        </w:rPr>
      </w:pPr>
      <w:r w:rsidRPr="00ED4576">
        <w:rPr>
          <w:rFonts w:cstheme="minorHAnsi"/>
          <w:b/>
        </w:rPr>
        <w:t xml:space="preserve">Professional Development: </w:t>
      </w:r>
      <w:r w:rsidRPr="00ED4576">
        <w:rPr>
          <w:rFonts w:cstheme="minorHAnsi"/>
        </w:rPr>
        <w:t xml:space="preserve">All students must complete </w:t>
      </w:r>
      <w:r w:rsidR="00A110F9" w:rsidRPr="00ED4576">
        <w:rPr>
          <w:rFonts w:cstheme="minorHAnsi"/>
        </w:rPr>
        <w:t>3.0</w:t>
      </w:r>
      <w:r w:rsidRPr="00ED4576">
        <w:rPr>
          <w:rFonts w:cstheme="minorHAnsi"/>
        </w:rPr>
        <w:t xml:space="preserve"> units of professional development in order to complete the MS degree.</w:t>
      </w:r>
      <w:r w:rsidR="00F41B23" w:rsidRPr="00ED4576">
        <w:rPr>
          <w:rFonts w:cstheme="minorHAnsi"/>
        </w:rPr>
        <w:t xml:space="preserve"> The </w:t>
      </w:r>
      <w:r w:rsidR="00A110F9" w:rsidRPr="00ED4576">
        <w:rPr>
          <w:rFonts w:cstheme="minorHAnsi"/>
        </w:rPr>
        <w:t xml:space="preserve">ALS </w:t>
      </w:r>
      <w:r w:rsidR="00F41B23" w:rsidRPr="00ED4576">
        <w:rPr>
          <w:rFonts w:cstheme="minorHAnsi"/>
        </w:rPr>
        <w:t>360 requirement will be waived for students who pass the initial writing assessment</w:t>
      </w:r>
      <w:r w:rsidR="00A110F9" w:rsidRPr="00ED4576">
        <w:rPr>
          <w:rFonts w:cstheme="minorHAnsi"/>
        </w:rPr>
        <w:t>.</w:t>
      </w:r>
      <w:r w:rsidR="00043F4B" w:rsidRPr="00ED4576">
        <w:rPr>
          <w:rFonts w:cstheme="minorHAnsi"/>
        </w:rPr>
        <w:t xml:space="preserve"> </w:t>
      </w:r>
      <w:bookmarkStart w:id="0" w:name="_Hlk482704262"/>
      <w:r w:rsidR="00A110F9" w:rsidRPr="00ED4576">
        <w:rPr>
          <w:rFonts w:cstheme="minorHAnsi"/>
        </w:rPr>
        <w:t xml:space="preserve">Waived units must </w:t>
      </w:r>
      <w:r w:rsidR="00043F4B" w:rsidRPr="00ED4576">
        <w:rPr>
          <w:rFonts w:cstheme="minorHAnsi"/>
        </w:rPr>
        <w:t>be replaced</w:t>
      </w:r>
      <w:r w:rsidR="00F41B23" w:rsidRPr="00ED4576">
        <w:rPr>
          <w:rFonts w:cstheme="minorHAnsi"/>
        </w:rPr>
        <w:t xml:space="preserve"> with general elective units.</w:t>
      </w:r>
      <w:bookmarkEnd w:id="0"/>
      <w:r w:rsidR="00F41B23" w:rsidRPr="00ED4576">
        <w:rPr>
          <w:rFonts w:cstheme="minorHAnsi"/>
        </w:rPr>
        <w:t xml:space="preserve"> </w:t>
      </w:r>
    </w:p>
    <w:tbl>
      <w:tblPr>
        <w:tblStyle w:val="TableGrid"/>
        <w:tblW w:w="0" w:type="auto"/>
        <w:jc w:val="center"/>
        <w:tblLook w:val="04A0" w:firstRow="1" w:lastRow="0" w:firstColumn="1" w:lastColumn="0" w:noHBand="0" w:noVBand="1"/>
      </w:tblPr>
      <w:tblGrid>
        <w:gridCol w:w="3695"/>
        <w:gridCol w:w="1224"/>
      </w:tblGrid>
      <w:tr w:rsidR="00125F96" w:rsidRPr="00ED4576" w:rsidTr="00C712AE">
        <w:trPr>
          <w:jc w:val="center"/>
        </w:trPr>
        <w:tc>
          <w:tcPr>
            <w:tcW w:w="3695" w:type="dxa"/>
          </w:tcPr>
          <w:p w:rsidR="00125F96" w:rsidRPr="00ED4576" w:rsidRDefault="00125F96" w:rsidP="00125F96">
            <w:pPr>
              <w:rPr>
                <w:rFonts w:cstheme="minorHAnsi"/>
              </w:rPr>
            </w:pPr>
            <w:r w:rsidRPr="00ED4576">
              <w:rPr>
                <w:rFonts w:cstheme="minorHAnsi"/>
              </w:rPr>
              <w:t>ALS 341 Bioindustry Ethics and Society</w:t>
            </w:r>
          </w:p>
        </w:tc>
        <w:tc>
          <w:tcPr>
            <w:tcW w:w="1224" w:type="dxa"/>
          </w:tcPr>
          <w:p w:rsidR="00125F96" w:rsidRPr="00ED4576" w:rsidRDefault="00125F96" w:rsidP="004A762A">
            <w:pPr>
              <w:jc w:val="center"/>
              <w:rPr>
                <w:rFonts w:cstheme="minorHAnsi"/>
              </w:rPr>
            </w:pPr>
            <w:r w:rsidRPr="00ED4576">
              <w:rPr>
                <w:rFonts w:cstheme="minorHAnsi"/>
              </w:rPr>
              <w:t>1.5 units</w:t>
            </w:r>
          </w:p>
        </w:tc>
      </w:tr>
      <w:tr w:rsidR="00125F96" w:rsidRPr="00ED4576" w:rsidTr="00C712AE">
        <w:trPr>
          <w:jc w:val="center"/>
        </w:trPr>
        <w:tc>
          <w:tcPr>
            <w:tcW w:w="3695" w:type="dxa"/>
          </w:tcPr>
          <w:p w:rsidR="00125F96" w:rsidRPr="00ED4576" w:rsidRDefault="00125F96" w:rsidP="00F41B23">
            <w:pPr>
              <w:rPr>
                <w:rFonts w:cstheme="minorHAnsi"/>
              </w:rPr>
            </w:pPr>
            <w:r w:rsidRPr="00ED4576">
              <w:rPr>
                <w:rFonts w:cstheme="minorHAnsi"/>
              </w:rPr>
              <w:t>ALS 360 Business/Science Communications</w:t>
            </w:r>
          </w:p>
        </w:tc>
        <w:tc>
          <w:tcPr>
            <w:tcW w:w="1224" w:type="dxa"/>
          </w:tcPr>
          <w:p w:rsidR="00125F96" w:rsidRPr="00ED4576" w:rsidRDefault="004A762A" w:rsidP="00C712AE">
            <w:pPr>
              <w:jc w:val="center"/>
              <w:rPr>
                <w:rFonts w:cstheme="minorHAnsi"/>
              </w:rPr>
            </w:pPr>
            <w:r w:rsidRPr="00ED4576">
              <w:rPr>
                <w:rFonts w:cstheme="minorHAnsi"/>
              </w:rPr>
              <w:t>1.5</w:t>
            </w:r>
            <w:r w:rsidR="00125F96" w:rsidRPr="00ED4576">
              <w:rPr>
                <w:rFonts w:cstheme="minorHAnsi"/>
              </w:rPr>
              <w:t xml:space="preserve"> units</w:t>
            </w:r>
          </w:p>
        </w:tc>
      </w:tr>
      <w:tr w:rsidR="00125F96" w:rsidRPr="00ED4576" w:rsidTr="00C712AE">
        <w:trPr>
          <w:jc w:val="center"/>
        </w:trPr>
        <w:tc>
          <w:tcPr>
            <w:tcW w:w="3695" w:type="dxa"/>
            <w:shd w:val="clear" w:color="auto" w:fill="F2F2F2" w:themeFill="background1" w:themeFillShade="F2"/>
          </w:tcPr>
          <w:p w:rsidR="00125F96" w:rsidRPr="00ED4576" w:rsidRDefault="00125F96" w:rsidP="00C712AE">
            <w:pPr>
              <w:rPr>
                <w:rFonts w:cstheme="minorHAnsi"/>
                <w:b/>
              </w:rPr>
            </w:pPr>
            <w:r w:rsidRPr="00ED4576">
              <w:rPr>
                <w:rFonts w:cstheme="minorHAnsi"/>
                <w:b/>
              </w:rPr>
              <w:t>Total</w:t>
            </w:r>
          </w:p>
        </w:tc>
        <w:tc>
          <w:tcPr>
            <w:tcW w:w="1224" w:type="dxa"/>
            <w:shd w:val="clear" w:color="auto" w:fill="F2F2F2" w:themeFill="background1" w:themeFillShade="F2"/>
          </w:tcPr>
          <w:p w:rsidR="00125F96" w:rsidRPr="00ED4576" w:rsidRDefault="00125F96" w:rsidP="00C712AE">
            <w:pPr>
              <w:jc w:val="center"/>
              <w:rPr>
                <w:rFonts w:cstheme="minorHAnsi"/>
                <w:b/>
              </w:rPr>
            </w:pPr>
            <w:r w:rsidRPr="00ED4576">
              <w:rPr>
                <w:rFonts w:cstheme="minorHAnsi"/>
                <w:b/>
              </w:rPr>
              <w:t>3.0 units</w:t>
            </w:r>
          </w:p>
        </w:tc>
      </w:tr>
    </w:tbl>
    <w:p w:rsidR="009A7AD1" w:rsidRPr="00ED4576" w:rsidRDefault="00ED4576" w:rsidP="00ED4576">
      <w:pPr>
        <w:spacing w:before="120" w:after="120" w:line="271" w:lineRule="auto"/>
        <w:jc w:val="both"/>
        <w:rPr>
          <w:rFonts w:cstheme="minorHAnsi"/>
        </w:rPr>
      </w:pPr>
      <w:r w:rsidRPr="00ED4576">
        <w:rPr>
          <w:rFonts w:cstheme="minorHAnsi"/>
          <w:b/>
        </w:rPr>
        <w:t xml:space="preserve">Advanced and General Technical Electives: </w:t>
      </w:r>
      <w:r w:rsidRPr="00ED4576">
        <w:rPr>
          <w:rFonts w:cstheme="minorHAnsi"/>
        </w:rPr>
        <w:t>All MS students are required to complete additional units of any KGI courses, 300-level or 400-level to achieve the required 54.0 unit total. Students are encouraged to consult with the MS program director for course selection. Not all electives are offered every year. Refer to the Henry E. Riggs School of Applied Life Science course list for course designation information.</w:t>
      </w:r>
      <w:r w:rsidR="009A7AD1" w:rsidRPr="00ED4576">
        <w:rPr>
          <w:rFonts w:cstheme="minorHAnsi"/>
          <w:b/>
        </w:rPr>
        <w:br w:type="page"/>
      </w:r>
    </w:p>
    <w:p w:rsidR="009A7AD1" w:rsidRPr="00ED4576" w:rsidRDefault="009A7AD1" w:rsidP="009A7AD1">
      <w:pPr>
        <w:spacing w:before="160"/>
        <w:rPr>
          <w:rFonts w:cstheme="minorHAnsi"/>
        </w:rPr>
      </w:pPr>
      <w:r w:rsidRPr="00ED4576">
        <w:rPr>
          <w:rFonts w:cstheme="minorHAnsi"/>
          <w:b/>
        </w:rPr>
        <w:lastRenderedPageBreak/>
        <w:t xml:space="preserve">Research Thesis: </w:t>
      </w:r>
      <w:r w:rsidRPr="00ED4576">
        <w:rPr>
          <w:rFonts w:cstheme="minorHAnsi"/>
        </w:rPr>
        <w:t xml:space="preserve">To complete the MS degree with a research thesis, students must complete 12.0 units of Research Thesis Capstone.  It is highly recommended that students also complete independent study/Independent Research during the first year and/or complete a research project during the summer between first and second year. </w:t>
      </w:r>
      <w:r w:rsidR="00595949" w:rsidRPr="00ED4576">
        <w:rPr>
          <w:rFonts w:cstheme="minorHAnsi"/>
        </w:rPr>
        <w:t>Thesis capstone must be approved prior to the start of the fall semester.</w:t>
      </w:r>
    </w:p>
    <w:tbl>
      <w:tblPr>
        <w:tblStyle w:val="TableGrid"/>
        <w:tblW w:w="0" w:type="auto"/>
        <w:jc w:val="center"/>
        <w:tblLook w:val="04A0" w:firstRow="1" w:lastRow="0" w:firstColumn="1" w:lastColumn="0" w:noHBand="0" w:noVBand="1"/>
      </w:tblPr>
      <w:tblGrid>
        <w:gridCol w:w="3695"/>
        <w:gridCol w:w="1224"/>
      </w:tblGrid>
      <w:tr w:rsidR="009A7AD1" w:rsidRPr="00ED4576" w:rsidTr="00ED4576">
        <w:trPr>
          <w:jc w:val="center"/>
        </w:trPr>
        <w:tc>
          <w:tcPr>
            <w:tcW w:w="3695" w:type="dxa"/>
          </w:tcPr>
          <w:p w:rsidR="009A7AD1" w:rsidRPr="00ED4576" w:rsidRDefault="009A7AD1" w:rsidP="004D0CEB">
            <w:pPr>
              <w:rPr>
                <w:rFonts w:cstheme="minorHAnsi"/>
              </w:rPr>
            </w:pPr>
            <w:r w:rsidRPr="00ED4576">
              <w:rPr>
                <w:rFonts w:cstheme="minorHAnsi"/>
              </w:rPr>
              <w:t>ALS 49</w:t>
            </w:r>
            <w:r w:rsidR="00D34F91" w:rsidRPr="00ED4576">
              <w:rPr>
                <w:rFonts w:cstheme="minorHAnsi"/>
              </w:rPr>
              <w:t>5</w:t>
            </w:r>
            <w:r w:rsidRPr="00ED4576">
              <w:rPr>
                <w:rFonts w:cstheme="minorHAnsi"/>
              </w:rPr>
              <w:t xml:space="preserve"> Research Thesis Capstone</w:t>
            </w:r>
          </w:p>
        </w:tc>
        <w:tc>
          <w:tcPr>
            <w:tcW w:w="1224" w:type="dxa"/>
          </w:tcPr>
          <w:p w:rsidR="009A7AD1" w:rsidRPr="00ED4576" w:rsidRDefault="009A7AD1" w:rsidP="004D0CEB">
            <w:pPr>
              <w:jc w:val="center"/>
              <w:rPr>
                <w:rFonts w:cstheme="minorHAnsi"/>
              </w:rPr>
            </w:pPr>
            <w:r w:rsidRPr="00ED4576">
              <w:rPr>
                <w:rFonts w:cstheme="minorHAnsi"/>
              </w:rPr>
              <w:t>6.0 units</w:t>
            </w:r>
          </w:p>
        </w:tc>
      </w:tr>
      <w:tr w:rsidR="009A7AD1" w:rsidRPr="00ED4576" w:rsidTr="00ED4576">
        <w:trPr>
          <w:jc w:val="center"/>
        </w:trPr>
        <w:tc>
          <w:tcPr>
            <w:tcW w:w="3695" w:type="dxa"/>
          </w:tcPr>
          <w:p w:rsidR="009A7AD1" w:rsidRPr="00ED4576" w:rsidRDefault="009A7AD1" w:rsidP="004D0CEB">
            <w:pPr>
              <w:rPr>
                <w:rFonts w:cstheme="minorHAnsi"/>
              </w:rPr>
            </w:pPr>
            <w:r w:rsidRPr="00ED4576">
              <w:rPr>
                <w:rFonts w:cstheme="minorHAnsi"/>
              </w:rPr>
              <w:t xml:space="preserve">ALS </w:t>
            </w:r>
            <w:r w:rsidR="00D34F91" w:rsidRPr="00ED4576">
              <w:rPr>
                <w:rFonts w:cstheme="minorHAnsi"/>
              </w:rPr>
              <w:t>495</w:t>
            </w:r>
            <w:r w:rsidRPr="00ED4576">
              <w:rPr>
                <w:rFonts w:cstheme="minorHAnsi"/>
              </w:rPr>
              <w:t xml:space="preserve"> Research Thesis Capstone</w:t>
            </w:r>
          </w:p>
        </w:tc>
        <w:tc>
          <w:tcPr>
            <w:tcW w:w="1224" w:type="dxa"/>
          </w:tcPr>
          <w:p w:rsidR="009A7AD1" w:rsidRPr="00ED4576" w:rsidRDefault="009A7AD1" w:rsidP="004D0CEB">
            <w:pPr>
              <w:jc w:val="center"/>
              <w:rPr>
                <w:rFonts w:cstheme="minorHAnsi"/>
              </w:rPr>
            </w:pPr>
            <w:r w:rsidRPr="00ED4576">
              <w:rPr>
                <w:rFonts w:cstheme="minorHAnsi"/>
              </w:rPr>
              <w:t>6.0 units</w:t>
            </w:r>
          </w:p>
        </w:tc>
      </w:tr>
      <w:tr w:rsidR="009A7AD1" w:rsidRPr="00ED4576" w:rsidTr="00ED4576">
        <w:trPr>
          <w:jc w:val="center"/>
        </w:trPr>
        <w:tc>
          <w:tcPr>
            <w:tcW w:w="3695" w:type="dxa"/>
            <w:shd w:val="clear" w:color="auto" w:fill="F2F2F2" w:themeFill="background1" w:themeFillShade="F2"/>
          </w:tcPr>
          <w:p w:rsidR="009A7AD1" w:rsidRPr="00ED4576" w:rsidRDefault="009A7AD1" w:rsidP="004D0CEB">
            <w:pPr>
              <w:rPr>
                <w:rFonts w:cstheme="minorHAnsi"/>
                <w:b/>
              </w:rPr>
            </w:pPr>
            <w:r w:rsidRPr="00ED4576">
              <w:rPr>
                <w:rFonts w:cstheme="minorHAnsi"/>
                <w:b/>
              </w:rPr>
              <w:t>Total</w:t>
            </w:r>
          </w:p>
        </w:tc>
        <w:tc>
          <w:tcPr>
            <w:tcW w:w="1224" w:type="dxa"/>
            <w:shd w:val="clear" w:color="auto" w:fill="F2F2F2" w:themeFill="background1" w:themeFillShade="F2"/>
          </w:tcPr>
          <w:p w:rsidR="009A7AD1" w:rsidRPr="00ED4576" w:rsidRDefault="009A7AD1" w:rsidP="004D0CEB">
            <w:pPr>
              <w:jc w:val="center"/>
              <w:rPr>
                <w:rFonts w:cstheme="minorHAnsi"/>
                <w:b/>
              </w:rPr>
            </w:pPr>
            <w:r w:rsidRPr="00ED4576">
              <w:rPr>
                <w:rFonts w:cstheme="minorHAnsi"/>
                <w:b/>
              </w:rPr>
              <w:t>12.0 units</w:t>
            </w:r>
          </w:p>
        </w:tc>
      </w:tr>
    </w:tbl>
    <w:p w:rsidR="00073D23" w:rsidRPr="00ED4576" w:rsidRDefault="00073D23" w:rsidP="00073D23">
      <w:pPr>
        <w:rPr>
          <w:rFonts w:cstheme="minorHAnsi"/>
        </w:rPr>
      </w:pPr>
    </w:p>
    <w:p w:rsidR="00D8051B" w:rsidRPr="00ED4576" w:rsidRDefault="00073D23" w:rsidP="00073D23">
      <w:pPr>
        <w:tabs>
          <w:tab w:val="left" w:pos="8790"/>
        </w:tabs>
        <w:rPr>
          <w:rFonts w:cstheme="minorHAnsi"/>
        </w:rPr>
      </w:pPr>
      <w:r w:rsidRPr="00ED4576">
        <w:rPr>
          <w:rFonts w:cstheme="minorHAnsi"/>
        </w:rPr>
        <w:tab/>
      </w:r>
    </w:p>
    <w:p w:rsidR="00D34F91" w:rsidRPr="00ED4576" w:rsidRDefault="00D34F91" w:rsidP="00073D23">
      <w:pPr>
        <w:tabs>
          <w:tab w:val="left" w:pos="8790"/>
        </w:tabs>
        <w:rPr>
          <w:rFonts w:cstheme="minorHAnsi"/>
        </w:rPr>
      </w:pPr>
      <w:bookmarkStart w:id="1" w:name="_GoBack"/>
      <w:bookmarkEnd w:id="1"/>
    </w:p>
    <w:sectPr w:rsidR="00D34F91" w:rsidRPr="00ED4576" w:rsidSect="00D162D3">
      <w:headerReference w:type="default" r:id="rId6"/>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5606" w:rsidRDefault="00DD5606" w:rsidP="00444BDA">
      <w:pPr>
        <w:spacing w:after="0" w:line="240" w:lineRule="auto"/>
      </w:pPr>
      <w:r>
        <w:separator/>
      </w:r>
    </w:p>
  </w:endnote>
  <w:endnote w:type="continuationSeparator" w:id="0">
    <w:p w:rsidR="00DD5606" w:rsidRDefault="00DD5606" w:rsidP="00444B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860" w:rsidRPr="00CC4664" w:rsidRDefault="00CC4664" w:rsidP="00CC4664">
    <w:pPr>
      <w:pStyle w:val="Footer"/>
      <w:rPr>
        <w:noProof/>
      </w:rPr>
    </w:pPr>
    <w:r>
      <w:tab/>
    </w:r>
    <w:r>
      <w:fldChar w:fldCharType="begin"/>
    </w:r>
    <w:r>
      <w:instrText xml:space="preserve"> PAGE   \* MERGEFORMAT </w:instrText>
    </w:r>
    <w:r>
      <w:fldChar w:fldCharType="separate"/>
    </w:r>
    <w:r w:rsidR="00ED4576">
      <w:rPr>
        <w:noProof/>
      </w:rPr>
      <w:t>2</w:t>
    </w:r>
    <w:r>
      <w:rPr>
        <w:noProof/>
      </w:rPr>
      <w:fldChar w:fldCharType="end"/>
    </w:r>
    <w:r>
      <w:rPr>
        <w:noProof/>
      </w:rPr>
      <w:tab/>
      <w:t xml:space="preserve">revised on </w:t>
    </w:r>
    <w:r w:rsidR="00ED4576">
      <w:rPr>
        <w:noProof/>
      </w:rPr>
      <w:t>10/1/2018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5606" w:rsidRDefault="00DD5606" w:rsidP="00444BDA">
      <w:pPr>
        <w:spacing w:after="0" w:line="240" w:lineRule="auto"/>
      </w:pPr>
      <w:r>
        <w:separator/>
      </w:r>
    </w:p>
  </w:footnote>
  <w:footnote w:type="continuationSeparator" w:id="0">
    <w:p w:rsidR="00DD5606" w:rsidRDefault="00DD5606" w:rsidP="00444B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576" w:rsidRDefault="00ED4576" w:rsidP="00ED4576">
    <w:pPr>
      <w:spacing w:after="0"/>
      <w:jc w:val="center"/>
      <w:rPr>
        <w:b/>
      </w:rPr>
    </w:pPr>
    <w:r w:rsidRPr="009E5887">
      <w:rPr>
        <w:b/>
      </w:rPr>
      <w:t>KGI Henry E. Riggs School of Applied Life Sciences</w:t>
    </w:r>
  </w:p>
  <w:p w:rsidR="00ED4576" w:rsidRDefault="00ED4576" w:rsidP="00ED4576">
    <w:pPr>
      <w:spacing w:after="0"/>
      <w:jc w:val="center"/>
      <w:rPr>
        <w:b/>
      </w:rPr>
    </w:pPr>
    <w:r>
      <w:rPr>
        <w:b/>
      </w:rPr>
      <w:t>Graduation Requirements</w:t>
    </w:r>
  </w:p>
  <w:p w:rsidR="00ED4576" w:rsidRPr="00985B2A" w:rsidRDefault="00ED4576" w:rsidP="00ED4576">
    <w:pPr>
      <w:spacing w:after="80"/>
      <w:jc w:val="center"/>
      <w:rPr>
        <w:b/>
      </w:rPr>
    </w:pPr>
    <w:r w:rsidRPr="001C3BEE">
      <w:rPr>
        <w:b/>
      </w:rPr>
      <w:t>Class of 20</w:t>
    </w:r>
    <w:r>
      <w:rPr>
        <w:b/>
      </w:rPr>
      <w:t>19</w:t>
    </w:r>
    <w:r w:rsidRPr="001C3BEE">
      <w:rPr>
        <w:b/>
      </w:rPr>
      <w:t xml:space="preserve"> Master of </w:t>
    </w:r>
    <w:r>
      <w:rPr>
        <w:b/>
      </w:rPr>
      <w:t>Science in Applied Life Sciences</w:t>
    </w:r>
  </w:p>
  <w:p w:rsidR="00B87240" w:rsidRPr="00ED4576" w:rsidRDefault="00B87240" w:rsidP="00ED457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767"/>
    <w:rsid w:val="00043F4B"/>
    <w:rsid w:val="00073D23"/>
    <w:rsid w:val="000F010A"/>
    <w:rsid w:val="00125F96"/>
    <w:rsid w:val="00151572"/>
    <w:rsid w:val="00156263"/>
    <w:rsid w:val="001C04D4"/>
    <w:rsid w:val="002001EA"/>
    <w:rsid w:val="0025617B"/>
    <w:rsid w:val="002656B2"/>
    <w:rsid w:val="002A2922"/>
    <w:rsid w:val="002E1D0B"/>
    <w:rsid w:val="002E3FF1"/>
    <w:rsid w:val="0032009F"/>
    <w:rsid w:val="00342990"/>
    <w:rsid w:val="003F1512"/>
    <w:rsid w:val="00416C92"/>
    <w:rsid w:val="00444BDA"/>
    <w:rsid w:val="004679B9"/>
    <w:rsid w:val="0047139E"/>
    <w:rsid w:val="00491767"/>
    <w:rsid w:val="004A762A"/>
    <w:rsid w:val="004E4DB1"/>
    <w:rsid w:val="004F25AE"/>
    <w:rsid w:val="00571401"/>
    <w:rsid w:val="00595949"/>
    <w:rsid w:val="005D6471"/>
    <w:rsid w:val="00662A11"/>
    <w:rsid w:val="00667634"/>
    <w:rsid w:val="00692241"/>
    <w:rsid w:val="006E2FA2"/>
    <w:rsid w:val="007133B5"/>
    <w:rsid w:val="00726151"/>
    <w:rsid w:val="007A1A65"/>
    <w:rsid w:val="007A323A"/>
    <w:rsid w:val="00833860"/>
    <w:rsid w:val="008905CB"/>
    <w:rsid w:val="00912F1D"/>
    <w:rsid w:val="00924328"/>
    <w:rsid w:val="009A7AD1"/>
    <w:rsid w:val="00A02F35"/>
    <w:rsid w:val="00A110F9"/>
    <w:rsid w:val="00A84FEC"/>
    <w:rsid w:val="00AE27AD"/>
    <w:rsid w:val="00B14C60"/>
    <w:rsid w:val="00B16FEB"/>
    <w:rsid w:val="00B83441"/>
    <w:rsid w:val="00B87240"/>
    <w:rsid w:val="00BD549F"/>
    <w:rsid w:val="00C30F06"/>
    <w:rsid w:val="00CC4664"/>
    <w:rsid w:val="00D162D3"/>
    <w:rsid w:val="00D34F91"/>
    <w:rsid w:val="00D8051B"/>
    <w:rsid w:val="00DD5606"/>
    <w:rsid w:val="00E05324"/>
    <w:rsid w:val="00E56987"/>
    <w:rsid w:val="00E613C8"/>
    <w:rsid w:val="00EA2B30"/>
    <w:rsid w:val="00ED4576"/>
    <w:rsid w:val="00F27E13"/>
    <w:rsid w:val="00F41B23"/>
    <w:rsid w:val="00F87514"/>
    <w:rsid w:val="00FD0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5F3BF18"/>
  <w15:docId w15:val="{680AB763-B510-44C8-95B2-6F5CDF02A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17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17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91767"/>
    <w:rPr>
      <w:sz w:val="16"/>
      <w:szCs w:val="16"/>
    </w:rPr>
  </w:style>
  <w:style w:type="paragraph" w:styleId="CommentText">
    <w:name w:val="annotation text"/>
    <w:basedOn w:val="Normal"/>
    <w:link w:val="CommentTextChar"/>
    <w:uiPriority w:val="99"/>
    <w:semiHidden/>
    <w:unhideWhenUsed/>
    <w:rsid w:val="00491767"/>
    <w:pPr>
      <w:spacing w:line="240" w:lineRule="auto"/>
    </w:pPr>
    <w:rPr>
      <w:sz w:val="20"/>
      <w:szCs w:val="20"/>
    </w:rPr>
  </w:style>
  <w:style w:type="character" w:customStyle="1" w:styleId="CommentTextChar">
    <w:name w:val="Comment Text Char"/>
    <w:basedOn w:val="DefaultParagraphFont"/>
    <w:link w:val="CommentText"/>
    <w:uiPriority w:val="99"/>
    <w:semiHidden/>
    <w:rsid w:val="00491767"/>
    <w:rPr>
      <w:sz w:val="20"/>
      <w:szCs w:val="20"/>
    </w:rPr>
  </w:style>
  <w:style w:type="paragraph" w:styleId="BalloonText">
    <w:name w:val="Balloon Text"/>
    <w:basedOn w:val="Normal"/>
    <w:link w:val="BalloonTextChar"/>
    <w:uiPriority w:val="99"/>
    <w:semiHidden/>
    <w:unhideWhenUsed/>
    <w:rsid w:val="004917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1767"/>
    <w:rPr>
      <w:rFonts w:ascii="Tahoma" w:hAnsi="Tahoma" w:cs="Tahoma"/>
      <w:sz w:val="16"/>
      <w:szCs w:val="16"/>
    </w:rPr>
  </w:style>
  <w:style w:type="paragraph" w:styleId="Header">
    <w:name w:val="header"/>
    <w:basedOn w:val="Normal"/>
    <w:link w:val="HeaderChar"/>
    <w:uiPriority w:val="99"/>
    <w:unhideWhenUsed/>
    <w:rsid w:val="00444B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4BDA"/>
  </w:style>
  <w:style w:type="paragraph" w:styleId="Footer">
    <w:name w:val="footer"/>
    <w:basedOn w:val="Normal"/>
    <w:link w:val="FooterChar"/>
    <w:uiPriority w:val="99"/>
    <w:unhideWhenUsed/>
    <w:rsid w:val="00444B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4B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2711063">
      <w:bodyDiv w:val="1"/>
      <w:marLeft w:val="0"/>
      <w:marRight w:val="0"/>
      <w:marTop w:val="0"/>
      <w:marBottom w:val="0"/>
      <w:divBdr>
        <w:top w:val="none" w:sz="0" w:space="0" w:color="auto"/>
        <w:left w:val="none" w:sz="0" w:space="0" w:color="auto"/>
        <w:bottom w:val="none" w:sz="0" w:space="0" w:color="auto"/>
        <w:right w:val="none" w:sz="0" w:space="0" w:color="auto"/>
      </w:divBdr>
    </w:div>
    <w:div w:id="166593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2408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Janssen</dc:creator>
  <cp:lastModifiedBy>Anastasia Levitin</cp:lastModifiedBy>
  <cp:revision>2</cp:revision>
  <cp:lastPrinted>2015-10-12T18:52:00Z</cp:lastPrinted>
  <dcterms:created xsi:type="dcterms:W3CDTF">2018-10-01T16:53:00Z</dcterms:created>
  <dcterms:modified xsi:type="dcterms:W3CDTF">2018-10-01T16:53:00Z</dcterms:modified>
</cp:coreProperties>
</file>