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25AC" w14:textId="1AE49E37" w:rsidR="00985B2A" w:rsidRPr="00615B4F" w:rsidRDefault="00985B2A" w:rsidP="002153E8">
      <w:pPr>
        <w:tabs>
          <w:tab w:val="left" w:pos="180"/>
        </w:tabs>
        <w:spacing w:before="120" w:after="120" w:line="271" w:lineRule="auto"/>
        <w:jc w:val="both"/>
        <w:rPr>
          <w:rFonts w:cstheme="minorHAnsi"/>
        </w:rPr>
      </w:pPr>
      <w:r w:rsidRPr="00615B4F">
        <w:rPr>
          <w:rFonts w:cstheme="minorHAnsi"/>
        </w:rPr>
        <w:t>Students in the MS program are required to complete a total of 54</w:t>
      </w:r>
      <w:r w:rsidR="001A04DB">
        <w:rPr>
          <w:rFonts w:cstheme="minorHAnsi"/>
        </w:rPr>
        <w:t>.0</w:t>
      </w:r>
      <w:r w:rsidRPr="00615B4F">
        <w:rPr>
          <w:rFonts w:cstheme="minorHAnsi"/>
        </w:rPr>
        <w:t xml:space="preserve"> units over the course o</w:t>
      </w:r>
      <w:r w:rsidR="001A04DB">
        <w:rPr>
          <w:rFonts w:cstheme="minorHAnsi"/>
        </w:rPr>
        <w:t xml:space="preserve">f two years of study. Of the 54.0 </w:t>
      </w:r>
      <w:r w:rsidRPr="00615B4F">
        <w:rPr>
          <w:rFonts w:cstheme="minorHAnsi"/>
        </w:rPr>
        <w:t>total units, students must complete 12.0 units of core courses, 3.0 units of professional development courses, and 39.0 units of elective courses. The MS stude</w:t>
      </w:r>
      <w:r w:rsidR="001703C5">
        <w:rPr>
          <w:rFonts w:cstheme="minorHAnsi"/>
        </w:rPr>
        <w:t>nts have an option of declaring a</w:t>
      </w:r>
      <w:r w:rsidRPr="00615B4F">
        <w:rPr>
          <w:rFonts w:cstheme="minorHAnsi"/>
        </w:rPr>
        <w:t xml:space="preserve"> concentration </w:t>
      </w:r>
      <w:r w:rsidR="00A33FC0" w:rsidRPr="00615B4F">
        <w:rPr>
          <w:rFonts w:cstheme="minorHAnsi"/>
        </w:rPr>
        <w:t xml:space="preserve">which would provide </w:t>
      </w:r>
      <w:r w:rsidRPr="00615B4F">
        <w:rPr>
          <w:rFonts w:cstheme="minorHAnsi"/>
        </w:rPr>
        <w:t>depth to thei</w:t>
      </w:r>
      <w:r w:rsidR="00615B4F" w:rsidRPr="00615B4F">
        <w:rPr>
          <w:rFonts w:cstheme="minorHAnsi"/>
        </w:rPr>
        <w:t xml:space="preserve">r degree. </w:t>
      </w:r>
      <w:r w:rsidR="001703C5">
        <w:rPr>
          <w:rFonts w:cstheme="minorHAnsi"/>
        </w:rPr>
        <w:t>Three concentrations are available to MS in App</w:t>
      </w:r>
      <w:bookmarkStart w:id="0" w:name="_GoBack"/>
      <w:bookmarkEnd w:id="0"/>
      <w:r w:rsidR="001703C5">
        <w:rPr>
          <w:rFonts w:cstheme="minorHAnsi"/>
        </w:rPr>
        <w:t>lied Life Sciences students. They are Tr</w:t>
      </w:r>
      <w:r w:rsidR="00C354AD">
        <w:rPr>
          <w:rFonts w:cstheme="minorHAnsi"/>
        </w:rPr>
        <w:t>anslational Research Thesis (TR), Clinical Research Thesis (CR</w:t>
      </w:r>
      <w:r w:rsidR="001703C5">
        <w:rPr>
          <w:rFonts w:cstheme="minorHAnsi"/>
        </w:rPr>
        <w:t xml:space="preserve">), and Team Master’s project (TMP). </w:t>
      </w:r>
      <w:r w:rsidR="00615B4F" w:rsidRPr="00615B4F">
        <w:rPr>
          <w:rFonts w:cstheme="minorHAnsi"/>
        </w:rPr>
        <w:t xml:space="preserve">Each concentration </w:t>
      </w:r>
      <w:r w:rsidRPr="00615B4F">
        <w:rPr>
          <w:rFonts w:cstheme="minorHAnsi"/>
        </w:rPr>
        <w:t xml:space="preserve">requires completion of </w:t>
      </w:r>
      <w:r w:rsidR="001703C5">
        <w:rPr>
          <w:rFonts w:cstheme="minorHAnsi"/>
        </w:rPr>
        <w:t xml:space="preserve">15.0 units comprised of </w:t>
      </w:r>
      <w:r w:rsidRPr="00615B4F">
        <w:rPr>
          <w:rFonts w:cstheme="minorHAnsi"/>
        </w:rPr>
        <w:t>a capstone project (</w:t>
      </w:r>
      <w:r w:rsidR="001703C5">
        <w:rPr>
          <w:rFonts w:cstheme="minorHAnsi"/>
        </w:rPr>
        <w:t>12.0 units</w:t>
      </w:r>
      <w:r w:rsidRPr="00615B4F">
        <w:rPr>
          <w:rFonts w:cstheme="minorHAnsi"/>
        </w:rPr>
        <w:t xml:space="preserve">) plus </w:t>
      </w:r>
      <w:r w:rsidR="001703C5">
        <w:rPr>
          <w:rFonts w:cstheme="minorHAnsi"/>
        </w:rPr>
        <w:t xml:space="preserve">3.0 units of </w:t>
      </w:r>
      <w:r w:rsidRPr="00615B4F">
        <w:rPr>
          <w:rFonts w:cstheme="minorHAnsi"/>
        </w:rPr>
        <w:t>concentration-required course</w:t>
      </w:r>
      <w:r w:rsidR="00615B4F" w:rsidRPr="00615B4F">
        <w:rPr>
          <w:rFonts w:cstheme="minorHAnsi"/>
        </w:rPr>
        <w:t>(</w:t>
      </w:r>
      <w:r w:rsidRPr="00615B4F">
        <w:rPr>
          <w:rFonts w:cstheme="minorHAnsi"/>
        </w:rPr>
        <w:t>s</w:t>
      </w:r>
      <w:r w:rsidR="00615B4F" w:rsidRPr="00615B4F">
        <w:rPr>
          <w:rFonts w:cstheme="minorHAnsi"/>
        </w:rPr>
        <w:t>)</w:t>
      </w:r>
      <w:r w:rsidRPr="00615B4F">
        <w:rPr>
          <w:rFonts w:cstheme="minorHAnsi"/>
        </w:rPr>
        <w:t>.</w:t>
      </w:r>
    </w:p>
    <w:p w14:paraId="5B3C1574" w14:textId="536BA4DF" w:rsidR="00CC4664" w:rsidRPr="00615B4F" w:rsidRDefault="00CC4664" w:rsidP="002153E8">
      <w:pPr>
        <w:tabs>
          <w:tab w:val="left" w:pos="180"/>
        </w:tabs>
        <w:spacing w:before="120" w:after="120" w:line="271" w:lineRule="auto"/>
        <w:ind w:left="90"/>
        <w:jc w:val="both"/>
        <w:rPr>
          <w:rFonts w:cstheme="minorHAnsi"/>
          <w:b/>
        </w:rPr>
      </w:pPr>
      <w:r w:rsidRPr="00615B4F">
        <w:rPr>
          <w:rFonts w:cstheme="minorHAnsi"/>
          <w:b/>
        </w:rPr>
        <w:t>A summary of the MS curriculum is as follows:</w:t>
      </w:r>
    </w:p>
    <w:tbl>
      <w:tblPr>
        <w:tblStyle w:val="TableGrid"/>
        <w:tblW w:w="0" w:type="auto"/>
        <w:tblInd w:w="6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429"/>
      </w:tblGrid>
      <w:tr w:rsidR="00985B2A" w:rsidRPr="00615B4F" w14:paraId="74A6E90E" w14:textId="77777777" w:rsidTr="002153E8">
        <w:tc>
          <w:tcPr>
            <w:tcW w:w="8005" w:type="dxa"/>
            <w:shd w:val="clear" w:color="auto" w:fill="F2F2F2" w:themeFill="background1" w:themeFillShade="F2"/>
          </w:tcPr>
          <w:p w14:paraId="2BDA1E4F" w14:textId="77777777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Core Courses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69C99004" w14:textId="77777777" w:rsidR="00985B2A" w:rsidRPr="00615B4F" w:rsidRDefault="00985B2A" w:rsidP="002153E8">
            <w:pPr>
              <w:spacing w:line="271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985B2A" w:rsidRPr="00615B4F" w14:paraId="5F164A00" w14:textId="77777777" w:rsidTr="002153E8">
        <w:tc>
          <w:tcPr>
            <w:tcW w:w="8005" w:type="dxa"/>
          </w:tcPr>
          <w:p w14:paraId="4247A4BD" w14:textId="77777777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Professional Development</w:t>
            </w:r>
          </w:p>
        </w:tc>
        <w:tc>
          <w:tcPr>
            <w:tcW w:w="1429" w:type="dxa"/>
          </w:tcPr>
          <w:p w14:paraId="5187BACE" w14:textId="77777777" w:rsidR="00985B2A" w:rsidRPr="00615B4F" w:rsidRDefault="00985B2A" w:rsidP="002153E8">
            <w:pPr>
              <w:spacing w:line="271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3.0 units</w:t>
            </w:r>
          </w:p>
        </w:tc>
      </w:tr>
      <w:tr w:rsidR="00985B2A" w:rsidRPr="00615B4F" w14:paraId="26DC0728" w14:textId="77777777" w:rsidTr="002153E8">
        <w:tc>
          <w:tcPr>
            <w:tcW w:w="8005" w:type="dxa"/>
            <w:shd w:val="clear" w:color="auto" w:fill="F2F2F2" w:themeFill="background1" w:themeFillShade="F2"/>
          </w:tcPr>
          <w:p w14:paraId="7521C1AE" w14:textId="77777777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Electives (including the following intersecting requirements)</w:t>
            </w:r>
          </w:p>
        </w:tc>
        <w:tc>
          <w:tcPr>
            <w:tcW w:w="1429" w:type="dxa"/>
            <w:vMerge w:val="restart"/>
            <w:vAlign w:val="center"/>
          </w:tcPr>
          <w:p w14:paraId="2B102EB1" w14:textId="77777777" w:rsidR="00985B2A" w:rsidRPr="00615B4F" w:rsidRDefault="00985B2A" w:rsidP="002153E8">
            <w:pPr>
              <w:spacing w:line="271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39.0 units</w:t>
            </w:r>
          </w:p>
        </w:tc>
      </w:tr>
      <w:tr w:rsidR="00985B2A" w:rsidRPr="00615B4F" w14:paraId="65D321BF" w14:textId="77777777" w:rsidTr="002153E8">
        <w:tc>
          <w:tcPr>
            <w:tcW w:w="8005" w:type="dxa"/>
            <w:shd w:val="clear" w:color="auto" w:fill="auto"/>
          </w:tcPr>
          <w:p w14:paraId="620B4E9D" w14:textId="6C9B9F19" w:rsidR="00985B2A" w:rsidRPr="00615B4F" w:rsidRDefault="00985B2A" w:rsidP="002153E8">
            <w:pPr>
              <w:spacing w:line="271" w:lineRule="auto"/>
              <w:ind w:left="720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Advanced Technical and </w:t>
            </w:r>
            <w:r w:rsidR="00AF3CDC" w:rsidRPr="00615B4F">
              <w:rPr>
                <w:rFonts w:cstheme="minorHAnsi"/>
              </w:rPr>
              <w:t>General (</w:t>
            </w:r>
            <w:r w:rsidR="00615B4F">
              <w:rPr>
                <w:rFonts w:cstheme="minorHAnsi"/>
              </w:rPr>
              <w:t>27</w:t>
            </w:r>
            <w:r w:rsidRPr="00615B4F">
              <w:rPr>
                <w:rFonts w:cstheme="minorHAnsi"/>
              </w:rPr>
              <w:t>.0 units including concentration-required)</w:t>
            </w:r>
          </w:p>
        </w:tc>
        <w:tc>
          <w:tcPr>
            <w:tcW w:w="1429" w:type="dxa"/>
            <w:vMerge/>
            <w:shd w:val="clear" w:color="auto" w:fill="auto"/>
          </w:tcPr>
          <w:p w14:paraId="66D3C901" w14:textId="77777777" w:rsidR="00985B2A" w:rsidRPr="00615B4F" w:rsidRDefault="00985B2A" w:rsidP="002153E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985B2A" w:rsidRPr="00615B4F" w14:paraId="51CC5305" w14:textId="77777777" w:rsidTr="002153E8">
        <w:tc>
          <w:tcPr>
            <w:tcW w:w="8005" w:type="dxa"/>
            <w:shd w:val="clear" w:color="auto" w:fill="F2F2F2" w:themeFill="background1" w:themeFillShade="F2"/>
          </w:tcPr>
          <w:p w14:paraId="6FC29C49" w14:textId="77777777" w:rsidR="00985B2A" w:rsidRPr="00615B4F" w:rsidRDefault="00985B2A" w:rsidP="002153E8">
            <w:pPr>
              <w:spacing w:line="271" w:lineRule="auto"/>
              <w:ind w:left="720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Capstone (12.0 units of Thesis / TMP)</w:t>
            </w:r>
          </w:p>
        </w:tc>
        <w:tc>
          <w:tcPr>
            <w:tcW w:w="1429" w:type="dxa"/>
            <w:vMerge/>
            <w:shd w:val="clear" w:color="auto" w:fill="auto"/>
          </w:tcPr>
          <w:p w14:paraId="17F29F0C" w14:textId="77777777" w:rsidR="00985B2A" w:rsidRPr="00615B4F" w:rsidRDefault="00985B2A" w:rsidP="002153E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DE5BA4" w:rsidRPr="00615B4F" w14:paraId="6A276593" w14:textId="77777777" w:rsidTr="002153E8">
        <w:tc>
          <w:tcPr>
            <w:tcW w:w="8005" w:type="dxa"/>
            <w:shd w:val="clear" w:color="auto" w:fill="D9D9D9" w:themeFill="background1" w:themeFillShade="D9"/>
          </w:tcPr>
          <w:p w14:paraId="2699C17B" w14:textId="30E13E7A" w:rsidR="00DE5BA4" w:rsidRPr="00615B4F" w:rsidRDefault="00DE5BA4" w:rsidP="002153E8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3A05D47" w14:textId="2B4ABBC3" w:rsidR="00DE5BA4" w:rsidRPr="00615B4F" w:rsidRDefault="00DE5BA4" w:rsidP="002153E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54.0 units</w:t>
            </w:r>
          </w:p>
        </w:tc>
      </w:tr>
    </w:tbl>
    <w:p w14:paraId="3B28EB72" w14:textId="3F2F47BE" w:rsidR="00491767" w:rsidRPr="00615B4F" w:rsidRDefault="00B83441" w:rsidP="002153E8">
      <w:pPr>
        <w:spacing w:before="240" w:after="120" w:line="271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Core Science Courses: </w:t>
      </w:r>
      <w:r w:rsidRPr="00615B4F">
        <w:rPr>
          <w:rFonts w:cstheme="minorHAnsi"/>
        </w:rPr>
        <w:t>All students must complete the core courses in order to complete the MS degree.</w:t>
      </w:r>
      <w:r w:rsidR="00A110F9" w:rsidRPr="00615B4F">
        <w:rPr>
          <w:rFonts w:cstheme="minorHAnsi"/>
        </w:rPr>
        <w:t xml:space="preserve">  The ALS 342 requirement will be waived for students who pass the initial statistics assessment. Waived units must be replaced with general elective units.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1260"/>
      </w:tblGrid>
      <w:tr w:rsidR="00491767" w:rsidRPr="00615B4F" w14:paraId="0E20C1EC" w14:textId="77777777" w:rsidTr="002153E8">
        <w:trPr>
          <w:jc w:val="center"/>
        </w:trPr>
        <w:tc>
          <w:tcPr>
            <w:tcW w:w="4865" w:type="dxa"/>
            <w:shd w:val="clear" w:color="auto" w:fill="F2F2F2" w:themeFill="background1" w:themeFillShade="F2"/>
          </w:tcPr>
          <w:p w14:paraId="2BDD4557" w14:textId="77777777" w:rsidR="00491767" w:rsidRPr="00615B4F" w:rsidRDefault="00491767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300 Molecular Bio</w:t>
            </w:r>
            <w:r w:rsidR="00595949" w:rsidRPr="00615B4F">
              <w:rPr>
                <w:rFonts w:cstheme="minorHAnsi"/>
              </w:rPr>
              <w:t>technology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2B9D4AC" w14:textId="77777777" w:rsidR="00491767" w:rsidRPr="00615B4F" w:rsidRDefault="0047139E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</w:t>
            </w:r>
            <w:r w:rsidR="00B83441" w:rsidRPr="00615B4F">
              <w:rPr>
                <w:rFonts w:cstheme="minorHAnsi"/>
              </w:rPr>
              <w:t xml:space="preserve"> units</w:t>
            </w:r>
          </w:p>
        </w:tc>
      </w:tr>
      <w:tr w:rsidR="00A110F9" w:rsidRPr="00615B4F" w14:paraId="7AAAA242" w14:textId="77777777" w:rsidTr="002153E8">
        <w:trPr>
          <w:jc w:val="center"/>
        </w:trPr>
        <w:tc>
          <w:tcPr>
            <w:tcW w:w="4865" w:type="dxa"/>
            <w:shd w:val="clear" w:color="auto" w:fill="FFFFFF" w:themeFill="background1"/>
          </w:tcPr>
          <w:p w14:paraId="5B03214E" w14:textId="77777777" w:rsidR="00A110F9" w:rsidRPr="00615B4F" w:rsidRDefault="00A110F9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330 Pharmaceuticals Discovery </w:t>
            </w:r>
          </w:p>
        </w:tc>
        <w:tc>
          <w:tcPr>
            <w:tcW w:w="1260" w:type="dxa"/>
            <w:shd w:val="clear" w:color="auto" w:fill="FFFFFF" w:themeFill="background1"/>
          </w:tcPr>
          <w:p w14:paraId="222182FB" w14:textId="77777777" w:rsidR="00A110F9" w:rsidRPr="00615B4F" w:rsidRDefault="00A110F9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A110F9" w:rsidRPr="00615B4F" w14:paraId="3C0A88B8" w14:textId="77777777" w:rsidTr="002153E8">
        <w:trPr>
          <w:jc w:val="center"/>
        </w:trPr>
        <w:tc>
          <w:tcPr>
            <w:tcW w:w="4865" w:type="dxa"/>
            <w:shd w:val="clear" w:color="auto" w:fill="F2F2F2" w:themeFill="background1" w:themeFillShade="F2"/>
          </w:tcPr>
          <w:p w14:paraId="7F1FBE53" w14:textId="77777777" w:rsidR="00A110F9" w:rsidRPr="00615B4F" w:rsidRDefault="00A110F9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333 Pharmaceutical Development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FD57C32" w14:textId="77777777" w:rsidR="00A110F9" w:rsidRPr="00615B4F" w:rsidRDefault="00A110F9" w:rsidP="002153E8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A110F9" w:rsidRPr="00615B4F" w14:paraId="57ACE4DD" w14:textId="77777777" w:rsidTr="002153E8">
        <w:trPr>
          <w:jc w:val="center"/>
        </w:trPr>
        <w:tc>
          <w:tcPr>
            <w:tcW w:w="4865" w:type="dxa"/>
            <w:shd w:val="clear" w:color="auto" w:fill="FFFFFF" w:themeFill="background1"/>
          </w:tcPr>
          <w:p w14:paraId="7B2BCCBD" w14:textId="77777777" w:rsidR="00A110F9" w:rsidRPr="00615B4F" w:rsidRDefault="00A110F9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342 Applications of Statistics</w:t>
            </w:r>
          </w:p>
        </w:tc>
        <w:tc>
          <w:tcPr>
            <w:tcW w:w="1260" w:type="dxa"/>
            <w:shd w:val="clear" w:color="auto" w:fill="FFFFFF" w:themeFill="background1"/>
          </w:tcPr>
          <w:p w14:paraId="5A5A5CF4" w14:textId="77777777" w:rsidR="00A110F9" w:rsidRPr="00615B4F" w:rsidRDefault="00A110F9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985B2A" w:rsidRPr="00615B4F" w14:paraId="6CB02136" w14:textId="77777777" w:rsidTr="002153E8">
        <w:trPr>
          <w:jc w:val="center"/>
        </w:trPr>
        <w:tc>
          <w:tcPr>
            <w:tcW w:w="4865" w:type="dxa"/>
            <w:shd w:val="clear" w:color="auto" w:fill="F2F2F2" w:themeFill="background1" w:themeFillShade="F2"/>
          </w:tcPr>
          <w:p w14:paraId="39C39082" w14:textId="302F1575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402 Molecular Basis of Disease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8B9A6E" w14:textId="2BDDF0F9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3.0 units</w:t>
            </w:r>
          </w:p>
        </w:tc>
      </w:tr>
      <w:tr w:rsidR="00985B2A" w:rsidRPr="00615B4F" w14:paraId="2DE12C8E" w14:textId="77777777" w:rsidTr="002153E8">
        <w:trPr>
          <w:jc w:val="center"/>
        </w:trPr>
        <w:tc>
          <w:tcPr>
            <w:tcW w:w="4865" w:type="dxa"/>
          </w:tcPr>
          <w:p w14:paraId="46F45A9F" w14:textId="1785E521" w:rsidR="00985B2A" w:rsidRPr="00615B4F" w:rsidRDefault="00985B2A" w:rsidP="002153E8">
            <w:pPr>
              <w:spacing w:line="271" w:lineRule="auto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407 Pharmacogenomics and Precision Med</w:t>
            </w:r>
            <w:r w:rsidR="00615B4F">
              <w:rPr>
                <w:rFonts w:cstheme="minorHAnsi"/>
              </w:rPr>
              <w:t>.</w:t>
            </w:r>
          </w:p>
        </w:tc>
        <w:tc>
          <w:tcPr>
            <w:tcW w:w="1260" w:type="dxa"/>
          </w:tcPr>
          <w:p w14:paraId="27456FDD" w14:textId="05CC3100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3.0 units</w:t>
            </w:r>
          </w:p>
        </w:tc>
      </w:tr>
      <w:tr w:rsidR="00985B2A" w:rsidRPr="00615B4F" w14:paraId="18BAAAF0" w14:textId="77777777" w:rsidTr="002153E8">
        <w:trPr>
          <w:jc w:val="center"/>
        </w:trPr>
        <w:tc>
          <w:tcPr>
            <w:tcW w:w="4865" w:type="dxa"/>
            <w:shd w:val="clear" w:color="auto" w:fill="D9D9D9" w:themeFill="background1" w:themeFillShade="D9"/>
          </w:tcPr>
          <w:p w14:paraId="1ED4E587" w14:textId="77777777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762D74" w14:textId="77777777" w:rsidR="00985B2A" w:rsidRPr="00615B4F" w:rsidRDefault="00985B2A" w:rsidP="002153E8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12.0 units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3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1605"/>
      </w:tblGrid>
      <w:tr w:rsidR="00F0425E" w:rsidRPr="00615B4F" w14:paraId="56B0DB2E" w14:textId="77777777" w:rsidTr="002153E8">
        <w:tc>
          <w:tcPr>
            <w:tcW w:w="4510" w:type="dxa"/>
            <w:shd w:val="clear" w:color="auto" w:fill="F2F2F2" w:themeFill="background1" w:themeFillShade="F2"/>
          </w:tcPr>
          <w:p w14:paraId="67F4E06D" w14:textId="77777777" w:rsidR="00F0425E" w:rsidRPr="00615B4F" w:rsidRDefault="00F0425E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341 Bioindustry Ethics and Society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852AC82" w14:textId="77777777" w:rsidR="00F0425E" w:rsidRPr="00615B4F" w:rsidRDefault="00F0425E" w:rsidP="002153E8">
            <w:pPr>
              <w:spacing w:line="271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F0425E" w:rsidRPr="00615B4F" w14:paraId="0537E44F" w14:textId="77777777" w:rsidTr="002153E8">
        <w:tc>
          <w:tcPr>
            <w:tcW w:w="4510" w:type="dxa"/>
          </w:tcPr>
          <w:p w14:paraId="59D55963" w14:textId="77777777" w:rsidR="00F0425E" w:rsidRPr="00615B4F" w:rsidRDefault="00F0425E" w:rsidP="002153E8">
            <w:pPr>
              <w:spacing w:line="271" w:lineRule="auto"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360 Business/Science Communications</w:t>
            </w:r>
          </w:p>
        </w:tc>
        <w:tc>
          <w:tcPr>
            <w:tcW w:w="1605" w:type="dxa"/>
          </w:tcPr>
          <w:p w14:paraId="68D31775" w14:textId="77777777" w:rsidR="00F0425E" w:rsidRPr="00615B4F" w:rsidRDefault="00F0425E" w:rsidP="002153E8">
            <w:pPr>
              <w:spacing w:line="271" w:lineRule="auto"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1A04DB" w:rsidRPr="00615B4F" w14:paraId="60DA99A5" w14:textId="77777777" w:rsidTr="002153E8">
        <w:tc>
          <w:tcPr>
            <w:tcW w:w="4510" w:type="dxa"/>
            <w:shd w:val="clear" w:color="auto" w:fill="F2F2F2" w:themeFill="background1" w:themeFillShade="F2"/>
          </w:tcPr>
          <w:p w14:paraId="21BF87F2" w14:textId="29EC2138" w:rsidR="001A04DB" w:rsidRPr="00615B4F" w:rsidRDefault="00B879EA" w:rsidP="00B879EA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ALS 397 Professional Development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BCF0AB5" w14:textId="74F82219" w:rsidR="001A04DB" w:rsidRPr="00615B4F" w:rsidRDefault="001A04DB" w:rsidP="002153E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  <w:r w:rsidRPr="00615B4F">
              <w:rPr>
                <w:rFonts w:cstheme="minorHAnsi"/>
              </w:rPr>
              <w:t xml:space="preserve"> units</w:t>
            </w:r>
          </w:p>
        </w:tc>
      </w:tr>
      <w:tr w:rsidR="00F0425E" w:rsidRPr="00615B4F" w14:paraId="5EBB97C2" w14:textId="77777777" w:rsidTr="002153E8">
        <w:tc>
          <w:tcPr>
            <w:tcW w:w="4510" w:type="dxa"/>
            <w:shd w:val="clear" w:color="auto" w:fill="D9D9D9" w:themeFill="background1" w:themeFillShade="D9"/>
          </w:tcPr>
          <w:p w14:paraId="4C3E6764" w14:textId="77777777" w:rsidR="00F0425E" w:rsidRPr="00615B4F" w:rsidRDefault="00F0425E" w:rsidP="002153E8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1111461E" w14:textId="77777777" w:rsidR="00F0425E" w:rsidRPr="00615B4F" w:rsidRDefault="00F0425E" w:rsidP="002153E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3.0 units</w:t>
            </w:r>
          </w:p>
        </w:tc>
      </w:tr>
    </w:tbl>
    <w:p w14:paraId="4C3C6CF6" w14:textId="2DA28DCB" w:rsidR="00125F96" w:rsidRPr="00615B4F" w:rsidRDefault="00125F96" w:rsidP="002153E8">
      <w:pPr>
        <w:spacing w:before="240" w:after="120" w:line="271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Professional Development: </w:t>
      </w:r>
      <w:r w:rsidRPr="00615B4F">
        <w:rPr>
          <w:rFonts w:cstheme="minorHAnsi"/>
        </w:rPr>
        <w:t xml:space="preserve">All students must complete </w:t>
      </w:r>
      <w:r w:rsidR="00A110F9" w:rsidRPr="00615B4F">
        <w:rPr>
          <w:rFonts w:cstheme="minorHAnsi"/>
        </w:rPr>
        <w:t>3.0</w:t>
      </w:r>
      <w:r w:rsidRPr="00615B4F">
        <w:rPr>
          <w:rFonts w:cstheme="minorHAnsi"/>
        </w:rPr>
        <w:t xml:space="preserve"> units of professional development in order to complete the MS degree.</w:t>
      </w:r>
      <w:r w:rsidR="00F41B23" w:rsidRPr="00615B4F">
        <w:rPr>
          <w:rFonts w:cstheme="minorHAnsi"/>
        </w:rPr>
        <w:t xml:space="preserve"> The </w:t>
      </w:r>
      <w:r w:rsidR="00A110F9" w:rsidRPr="00615B4F">
        <w:rPr>
          <w:rFonts w:cstheme="minorHAnsi"/>
        </w:rPr>
        <w:t xml:space="preserve">ALS </w:t>
      </w:r>
      <w:r w:rsidR="00F41B23" w:rsidRPr="00615B4F">
        <w:rPr>
          <w:rFonts w:cstheme="minorHAnsi"/>
        </w:rPr>
        <w:t>360 requirement will be waived for students who pass the initial writing assessment</w:t>
      </w:r>
      <w:r w:rsidR="00A110F9" w:rsidRPr="00615B4F">
        <w:rPr>
          <w:rFonts w:cstheme="minorHAnsi"/>
        </w:rPr>
        <w:t>.</w:t>
      </w:r>
      <w:r w:rsidR="00043F4B" w:rsidRPr="00615B4F">
        <w:rPr>
          <w:rFonts w:cstheme="minorHAnsi"/>
        </w:rPr>
        <w:t xml:space="preserve"> </w:t>
      </w:r>
      <w:bookmarkStart w:id="1" w:name="_Hlk482704262"/>
      <w:r w:rsidR="00A110F9" w:rsidRPr="00615B4F">
        <w:rPr>
          <w:rFonts w:cstheme="minorHAnsi"/>
        </w:rPr>
        <w:t xml:space="preserve">Waived units must </w:t>
      </w:r>
      <w:r w:rsidR="00043F4B" w:rsidRPr="00615B4F">
        <w:rPr>
          <w:rFonts w:cstheme="minorHAnsi"/>
        </w:rPr>
        <w:t>be replaced</w:t>
      </w:r>
      <w:r w:rsidR="00F41B23" w:rsidRPr="00615B4F">
        <w:rPr>
          <w:rFonts w:cstheme="minorHAnsi"/>
        </w:rPr>
        <w:t xml:space="preserve"> with general elective units.</w:t>
      </w:r>
      <w:bookmarkEnd w:id="1"/>
      <w:r w:rsidR="00F41B23" w:rsidRPr="00615B4F">
        <w:rPr>
          <w:rFonts w:cstheme="minorHAnsi"/>
        </w:rPr>
        <w:t xml:space="preserve"> </w:t>
      </w:r>
      <w:r w:rsidR="001A04DB">
        <w:rPr>
          <w:rFonts w:cstheme="minorHAnsi"/>
        </w:rPr>
        <w:t>The students are also required to complete an MS professional mentorship program.</w:t>
      </w:r>
    </w:p>
    <w:p w14:paraId="3A8AC6D3" w14:textId="77777777" w:rsidR="00F0425E" w:rsidRPr="00615B4F" w:rsidRDefault="00F0425E" w:rsidP="002153E8">
      <w:pPr>
        <w:spacing w:before="120" w:after="120" w:line="271" w:lineRule="auto"/>
        <w:ind w:right="-105"/>
        <w:jc w:val="both"/>
        <w:rPr>
          <w:rFonts w:cstheme="minorHAnsi"/>
          <w:b/>
        </w:rPr>
      </w:pPr>
    </w:p>
    <w:p w14:paraId="4757C8E1" w14:textId="77777777" w:rsidR="00F0425E" w:rsidRPr="00615B4F" w:rsidRDefault="00F0425E" w:rsidP="002153E8">
      <w:pPr>
        <w:spacing w:before="120" w:after="120" w:line="271" w:lineRule="auto"/>
        <w:ind w:right="-105"/>
        <w:jc w:val="both"/>
        <w:rPr>
          <w:rFonts w:cstheme="minorHAnsi"/>
          <w:b/>
        </w:rPr>
      </w:pPr>
    </w:p>
    <w:p w14:paraId="57039896" w14:textId="77777777" w:rsidR="002153E8" w:rsidRDefault="002153E8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34188A3B" w14:textId="77777777" w:rsidR="002153E8" w:rsidRDefault="002153E8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17F5A813" w14:textId="4256BF1A" w:rsidR="00D50898" w:rsidRPr="00615B4F" w:rsidRDefault="00D50898" w:rsidP="002153E8">
      <w:pPr>
        <w:spacing w:before="120" w:after="120" w:line="271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>C</w:t>
      </w:r>
      <w:r w:rsidR="00CD1E85" w:rsidRPr="00615B4F">
        <w:rPr>
          <w:rFonts w:cstheme="minorHAnsi"/>
          <w:b/>
        </w:rPr>
        <w:t>oncentrations:</w:t>
      </w:r>
      <w:r w:rsidR="009C7D50">
        <w:rPr>
          <w:rFonts w:cstheme="minorHAnsi"/>
        </w:rPr>
        <w:t xml:space="preserve"> Below are the three</w:t>
      </w:r>
      <w:r w:rsidR="00CD1E85" w:rsidRPr="00615B4F">
        <w:rPr>
          <w:rFonts w:cstheme="minorHAnsi"/>
        </w:rPr>
        <w:t xml:space="preserve"> concentrations available to Master of Science in Applied Life Sciences students</w:t>
      </w:r>
      <w:r w:rsidR="001A04DB">
        <w:rPr>
          <w:rFonts w:cstheme="minorHAnsi"/>
        </w:rPr>
        <w:t>, Translational Research</w:t>
      </w:r>
      <w:r w:rsidR="001703C5">
        <w:rPr>
          <w:rFonts w:cstheme="minorHAnsi"/>
        </w:rPr>
        <w:t xml:space="preserve"> Thesis (TRT)</w:t>
      </w:r>
      <w:r w:rsidR="001A04DB">
        <w:rPr>
          <w:rFonts w:cstheme="minorHAnsi"/>
        </w:rPr>
        <w:t xml:space="preserve">, Clinical Research </w:t>
      </w:r>
      <w:r w:rsidR="001703C5">
        <w:rPr>
          <w:rFonts w:cstheme="minorHAnsi"/>
        </w:rPr>
        <w:t xml:space="preserve">Thesis (CRT) </w:t>
      </w:r>
      <w:r w:rsidR="001A04DB">
        <w:rPr>
          <w:rFonts w:cstheme="minorHAnsi"/>
        </w:rPr>
        <w:t>and a Team Master’s Project (TMP) concentrations</w:t>
      </w:r>
      <w:r w:rsidR="00CD1E85" w:rsidRPr="00615B4F">
        <w:rPr>
          <w:rFonts w:cstheme="minorHAnsi"/>
        </w:rPr>
        <w:t xml:space="preserve">. </w:t>
      </w:r>
      <w:r w:rsidR="001A04DB" w:rsidRPr="001A04DB">
        <w:rPr>
          <w:rFonts w:cstheme="minorHAnsi"/>
        </w:rPr>
        <w:t xml:space="preserve">To </w:t>
      </w:r>
      <w:r w:rsidR="001A04DB">
        <w:rPr>
          <w:rFonts w:cstheme="minorHAnsi"/>
        </w:rPr>
        <w:t xml:space="preserve">successfully </w:t>
      </w:r>
      <w:r w:rsidR="001A04DB" w:rsidRPr="001A04DB">
        <w:rPr>
          <w:rFonts w:cstheme="minorHAnsi"/>
        </w:rPr>
        <w:t>complet</w:t>
      </w:r>
      <w:r w:rsidR="001A04DB">
        <w:rPr>
          <w:rFonts w:cstheme="minorHAnsi"/>
        </w:rPr>
        <w:t>e a concentration, a total of 15</w:t>
      </w:r>
      <w:r w:rsidR="001A04DB" w:rsidRPr="001A04DB">
        <w:rPr>
          <w:rFonts w:cstheme="minorHAnsi"/>
        </w:rPr>
        <w:t xml:space="preserve">.0 units comprising of all the required courses in the concentration and a selection from the electives is required in partial fulfilment of the </w:t>
      </w:r>
      <w:r w:rsidR="001A04DB">
        <w:rPr>
          <w:rFonts w:cstheme="minorHAnsi"/>
        </w:rPr>
        <w:t>39.0</w:t>
      </w:r>
      <w:r w:rsidR="001A04DB" w:rsidRPr="001A04DB">
        <w:rPr>
          <w:rFonts w:cstheme="minorHAnsi"/>
        </w:rPr>
        <w:t xml:space="preserve"> total elective</w:t>
      </w:r>
      <w:r w:rsidR="001A04DB">
        <w:rPr>
          <w:rFonts w:cstheme="minorHAnsi"/>
        </w:rPr>
        <w:t xml:space="preserve"> units necessary for graduation</w:t>
      </w:r>
      <w:r w:rsidR="00CD1E85" w:rsidRPr="001A04DB">
        <w:rPr>
          <w:rFonts w:cstheme="minorHAnsi"/>
        </w:rPr>
        <w:t>.</w:t>
      </w:r>
      <w:r w:rsidR="00CD1E85" w:rsidRPr="00615B4F">
        <w:rPr>
          <w:rFonts w:cstheme="minorHAnsi"/>
        </w:rPr>
        <w:t xml:space="preserve"> Students are encouraged to consult with the MS program director for course selection. </w:t>
      </w:r>
      <w:r w:rsidRPr="00615B4F">
        <w:rPr>
          <w:rFonts w:cstheme="minorHAnsi"/>
        </w:rPr>
        <w:t xml:space="preserve">To complete the MS degree with a Translational or Clinical research thesis, students must complete 12.0 units of </w:t>
      </w:r>
      <w:r w:rsidR="001703C5">
        <w:rPr>
          <w:rFonts w:cstheme="minorHAnsi"/>
        </w:rPr>
        <w:t>ALS 495 Master’s</w:t>
      </w:r>
      <w:r w:rsidRPr="00615B4F">
        <w:rPr>
          <w:rFonts w:cstheme="minorHAnsi"/>
        </w:rPr>
        <w:t xml:space="preserve"> Thesis Capstone</w:t>
      </w:r>
      <w:r w:rsidR="001703C5">
        <w:rPr>
          <w:rFonts w:cstheme="minorHAnsi"/>
        </w:rPr>
        <w:t xml:space="preserve"> course</w:t>
      </w:r>
      <w:r w:rsidRPr="00615B4F">
        <w:rPr>
          <w:rFonts w:cstheme="minorHAnsi"/>
        </w:rPr>
        <w:t xml:space="preserve">.  </w:t>
      </w:r>
      <w:r w:rsidR="00AD21AB" w:rsidRPr="00615B4F">
        <w:rPr>
          <w:rFonts w:cstheme="minorHAnsi"/>
        </w:rPr>
        <w:lastRenderedPageBreak/>
        <w:t xml:space="preserve">Thesis </w:t>
      </w:r>
      <w:r w:rsidR="00F450FA" w:rsidRPr="00615B4F">
        <w:rPr>
          <w:rFonts w:cstheme="minorHAnsi"/>
        </w:rPr>
        <w:t>contract</w:t>
      </w:r>
      <w:r w:rsidR="001703C5">
        <w:rPr>
          <w:rFonts w:cstheme="minorHAnsi"/>
        </w:rPr>
        <w:t>s</w:t>
      </w:r>
      <w:r w:rsidR="00F450FA" w:rsidRPr="00615B4F">
        <w:rPr>
          <w:rFonts w:cstheme="minorHAnsi"/>
        </w:rPr>
        <w:t xml:space="preserve"> must be submitted during April/May of the first year of studies. Please refer to the ALS 495 Master’s thesis syllabus form more information.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1260"/>
      </w:tblGrid>
      <w:tr w:rsidR="00CD1E85" w:rsidRPr="00615B4F" w14:paraId="00450099" w14:textId="77777777" w:rsidTr="002153E8">
        <w:trPr>
          <w:jc w:val="center"/>
        </w:trPr>
        <w:tc>
          <w:tcPr>
            <w:tcW w:w="6125" w:type="dxa"/>
            <w:gridSpan w:val="2"/>
            <w:shd w:val="clear" w:color="auto" w:fill="D9D9D9" w:themeFill="background1" w:themeFillShade="D9"/>
          </w:tcPr>
          <w:p w14:paraId="6E1394EB" w14:textId="4BB76C92" w:rsidR="00CD1E85" w:rsidRPr="00615B4F" w:rsidRDefault="00CD1E85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Translational Research Concentration</w:t>
            </w:r>
          </w:p>
        </w:tc>
      </w:tr>
      <w:tr w:rsidR="00CD1E85" w:rsidRPr="00615B4F" w14:paraId="590BE8E1" w14:textId="77777777" w:rsidTr="002153E8">
        <w:trPr>
          <w:jc w:val="center"/>
        </w:trPr>
        <w:tc>
          <w:tcPr>
            <w:tcW w:w="4865" w:type="dxa"/>
          </w:tcPr>
          <w:p w14:paraId="7FA26387" w14:textId="549DA3F8" w:rsidR="00CD1E85" w:rsidRPr="00615B4F" w:rsidRDefault="00CD1E85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495 Translational Research Thesis Capstone </w:t>
            </w:r>
          </w:p>
        </w:tc>
        <w:tc>
          <w:tcPr>
            <w:tcW w:w="1260" w:type="dxa"/>
            <w:vAlign w:val="center"/>
          </w:tcPr>
          <w:p w14:paraId="13D121D7" w14:textId="28E08C97" w:rsidR="00CD1E85" w:rsidRPr="00615B4F" w:rsidRDefault="00CD1E85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CD1E85" w:rsidRPr="00615B4F" w14:paraId="1D1D6F53" w14:textId="77777777" w:rsidTr="002153E8">
        <w:trPr>
          <w:jc w:val="center"/>
        </w:trPr>
        <w:tc>
          <w:tcPr>
            <w:tcW w:w="4865" w:type="dxa"/>
            <w:shd w:val="clear" w:color="auto" w:fill="F2F2F2" w:themeFill="background1" w:themeFillShade="F2"/>
          </w:tcPr>
          <w:p w14:paraId="38F1ED49" w14:textId="2F54240D" w:rsidR="00CD1E85" w:rsidRPr="00615B4F" w:rsidRDefault="00CD1E85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481a Fundamental Papers in Applied Medicine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28D26D" w14:textId="4FEF7F5D" w:rsidR="00CD1E85" w:rsidRPr="00615B4F" w:rsidRDefault="00CD1E85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CD1E85" w:rsidRPr="00615B4F" w14:paraId="08B1CF6B" w14:textId="77777777" w:rsidTr="002153E8">
        <w:trPr>
          <w:jc w:val="center"/>
        </w:trPr>
        <w:tc>
          <w:tcPr>
            <w:tcW w:w="4865" w:type="dxa"/>
          </w:tcPr>
          <w:p w14:paraId="0D4480D2" w14:textId="6350AB37" w:rsidR="00CD1E85" w:rsidRPr="00615B4F" w:rsidRDefault="009E5887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ALS 481b</w:t>
            </w:r>
            <w:r w:rsidR="00CD1E85" w:rsidRPr="00615B4F">
              <w:rPr>
                <w:rFonts w:cstheme="minorHAnsi"/>
              </w:rPr>
              <w:t xml:space="preserve"> Fundamental Papers in Applied Medicine</w:t>
            </w:r>
          </w:p>
        </w:tc>
        <w:tc>
          <w:tcPr>
            <w:tcW w:w="1260" w:type="dxa"/>
          </w:tcPr>
          <w:p w14:paraId="180EBE93" w14:textId="77777777" w:rsidR="00CD1E85" w:rsidRPr="00615B4F" w:rsidRDefault="00CD1E85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CD1E85" w:rsidRPr="00615B4F" w14:paraId="3D73D757" w14:textId="77777777" w:rsidTr="002153E8">
        <w:trPr>
          <w:jc w:val="center"/>
        </w:trPr>
        <w:tc>
          <w:tcPr>
            <w:tcW w:w="4865" w:type="dxa"/>
            <w:shd w:val="clear" w:color="auto" w:fill="D9D9D9" w:themeFill="background1" w:themeFillShade="D9"/>
          </w:tcPr>
          <w:p w14:paraId="39226D50" w14:textId="77777777" w:rsidR="00CD1E85" w:rsidRPr="00615B4F" w:rsidRDefault="00CD1E85" w:rsidP="001703C5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8C8766B" w14:textId="52B691AB" w:rsidR="00CD1E85" w:rsidRPr="00615B4F" w:rsidRDefault="00CD1E85" w:rsidP="001703C5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15.0 units</w:t>
            </w:r>
          </w:p>
        </w:tc>
      </w:tr>
    </w:tbl>
    <w:p w14:paraId="57345E27" w14:textId="2623C1D1" w:rsidR="00DE5BA4" w:rsidRPr="00615B4F" w:rsidRDefault="00D53AC5" w:rsidP="002153E8">
      <w:pPr>
        <w:spacing w:before="120" w:after="120" w:line="271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Note: </w:t>
      </w:r>
      <w:r w:rsidRPr="00615B4F">
        <w:rPr>
          <w:rFonts w:cstheme="minorHAnsi"/>
        </w:rPr>
        <w:t>Students p</w:t>
      </w:r>
      <w:r w:rsidR="004E6116">
        <w:rPr>
          <w:rFonts w:cstheme="minorHAnsi"/>
        </w:rPr>
        <w:t>l</w:t>
      </w:r>
      <w:r w:rsidRPr="00615B4F">
        <w:rPr>
          <w:rFonts w:cstheme="minorHAnsi"/>
        </w:rPr>
        <w:t xml:space="preserve">anning to pursue the Translational Research Concentration </w:t>
      </w:r>
      <w:r w:rsidR="00AD21AB" w:rsidRPr="00615B4F">
        <w:rPr>
          <w:rFonts w:cstheme="minorHAnsi"/>
        </w:rPr>
        <w:t xml:space="preserve">are strongly recommended to </w:t>
      </w:r>
      <w:r w:rsidR="00F450FA" w:rsidRPr="00615B4F">
        <w:rPr>
          <w:rFonts w:cstheme="minorHAnsi"/>
        </w:rPr>
        <w:t>complete Independent Research / Independent Study</w:t>
      </w:r>
      <w:r w:rsidR="00AD21AB" w:rsidRPr="00615B4F">
        <w:rPr>
          <w:rFonts w:cstheme="minorHAnsi"/>
        </w:rPr>
        <w:t xml:space="preserve"> during their first year and/or complete a research project during the summer between first and second year. </w:t>
      </w:r>
      <w:r w:rsidRPr="00615B4F">
        <w:rPr>
          <w:rFonts w:cstheme="minorHAnsi"/>
        </w:rPr>
        <w:t>See ALS 495 Master’s thesis syllabus form more information</w:t>
      </w:r>
      <w:r w:rsidR="00AD21AB" w:rsidRPr="00615B4F">
        <w:rPr>
          <w:rFonts w:cstheme="minorHAnsi"/>
        </w:rPr>
        <w:t>.</w:t>
      </w:r>
    </w:p>
    <w:tbl>
      <w:tblPr>
        <w:tblStyle w:val="TableGrid"/>
        <w:tblpPr w:leftFromText="180" w:rightFromText="180" w:vertAnchor="text" w:horzAnchor="margin" w:tblpXSpec="center" w:tblpY="1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1260"/>
      </w:tblGrid>
      <w:tr w:rsidR="00615B4F" w:rsidRPr="00615B4F" w14:paraId="33322400" w14:textId="77777777" w:rsidTr="001703C5">
        <w:tc>
          <w:tcPr>
            <w:tcW w:w="6125" w:type="dxa"/>
            <w:gridSpan w:val="2"/>
            <w:shd w:val="clear" w:color="auto" w:fill="D9D9D9" w:themeFill="background1" w:themeFillShade="D9"/>
          </w:tcPr>
          <w:p w14:paraId="3BE3F4C6" w14:textId="77777777" w:rsidR="00615B4F" w:rsidRPr="00615B4F" w:rsidRDefault="00615B4F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Clinical Research Concentration</w:t>
            </w:r>
          </w:p>
        </w:tc>
      </w:tr>
      <w:tr w:rsidR="00615B4F" w:rsidRPr="00615B4F" w14:paraId="3234D4D6" w14:textId="77777777" w:rsidTr="001703C5">
        <w:tc>
          <w:tcPr>
            <w:tcW w:w="4865" w:type="dxa"/>
          </w:tcPr>
          <w:p w14:paraId="259BE633" w14:textId="77777777" w:rsidR="00615B4F" w:rsidRPr="00615B4F" w:rsidRDefault="00615B4F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495 Clinical Research Thesis Capstone </w:t>
            </w:r>
          </w:p>
        </w:tc>
        <w:tc>
          <w:tcPr>
            <w:tcW w:w="1260" w:type="dxa"/>
          </w:tcPr>
          <w:p w14:paraId="68DAEFF7" w14:textId="77777777" w:rsidR="00615B4F" w:rsidRPr="00615B4F" w:rsidRDefault="00615B4F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CB6D02" w:rsidRPr="00615B4F" w14:paraId="17C46098" w14:textId="77777777" w:rsidTr="001703C5">
        <w:tc>
          <w:tcPr>
            <w:tcW w:w="4865" w:type="dxa"/>
            <w:shd w:val="clear" w:color="auto" w:fill="F2F2F2" w:themeFill="background1" w:themeFillShade="F2"/>
          </w:tcPr>
          <w:p w14:paraId="2FD5E41E" w14:textId="612EB153" w:rsidR="00CB6D02" w:rsidRPr="00615B4F" w:rsidRDefault="00CB6D02" w:rsidP="00CB6D02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ALS 380 Medical T</w:t>
            </w:r>
            <w:r w:rsidRPr="00615B4F">
              <w:rPr>
                <w:rFonts w:cstheme="minorHAnsi"/>
              </w:rPr>
              <w:t>erminology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9D2C97" w14:textId="72017990" w:rsidR="00CB6D02" w:rsidRPr="00615B4F" w:rsidRDefault="00B96245" w:rsidP="00CB6D02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  <w:r w:rsidR="00CB6D02" w:rsidRPr="00615B4F">
              <w:rPr>
                <w:rFonts w:cstheme="minorHAnsi"/>
              </w:rPr>
              <w:t xml:space="preserve"> units</w:t>
            </w:r>
          </w:p>
        </w:tc>
      </w:tr>
      <w:tr w:rsidR="00CB6D02" w:rsidRPr="00615B4F" w14:paraId="5A9FCBB8" w14:textId="77777777" w:rsidTr="00CB6D02">
        <w:tc>
          <w:tcPr>
            <w:tcW w:w="4865" w:type="dxa"/>
            <w:shd w:val="clear" w:color="auto" w:fill="auto"/>
          </w:tcPr>
          <w:p w14:paraId="6F991F78" w14:textId="201EEABF" w:rsidR="00CB6D02" w:rsidRPr="00615B4F" w:rsidRDefault="00CB6D02" w:rsidP="00CB6D02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480 Medical Harm Reduction</w:t>
            </w:r>
          </w:p>
        </w:tc>
        <w:tc>
          <w:tcPr>
            <w:tcW w:w="1260" w:type="dxa"/>
            <w:shd w:val="clear" w:color="auto" w:fill="auto"/>
          </w:tcPr>
          <w:p w14:paraId="60593DAC" w14:textId="5D2077B4" w:rsidR="00CB6D02" w:rsidRDefault="00CB6D02" w:rsidP="00CB6D02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1.5 units</w:t>
            </w:r>
          </w:p>
        </w:tc>
      </w:tr>
      <w:tr w:rsidR="00615B4F" w:rsidRPr="00615B4F" w14:paraId="4E2BB93C" w14:textId="77777777" w:rsidTr="001703C5">
        <w:tc>
          <w:tcPr>
            <w:tcW w:w="4865" w:type="dxa"/>
            <w:shd w:val="clear" w:color="auto" w:fill="D9D9D9" w:themeFill="background1" w:themeFillShade="D9"/>
          </w:tcPr>
          <w:p w14:paraId="4F62A62A" w14:textId="77777777" w:rsidR="00615B4F" w:rsidRPr="00615B4F" w:rsidRDefault="00615B4F" w:rsidP="001703C5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68D84C8" w14:textId="6033A6BE" w:rsidR="00615B4F" w:rsidRPr="00615B4F" w:rsidRDefault="00B96245" w:rsidP="001703C5">
            <w:pPr>
              <w:spacing w:line="271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16.5</w:t>
            </w:r>
            <w:r w:rsidR="00615B4F" w:rsidRPr="00615B4F">
              <w:rPr>
                <w:rFonts w:cstheme="minorHAnsi"/>
                <w:b/>
              </w:rPr>
              <w:t xml:space="preserve"> units</w:t>
            </w:r>
          </w:p>
        </w:tc>
      </w:tr>
    </w:tbl>
    <w:p w14:paraId="7975A8C0" w14:textId="77777777" w:rsidR="00F450FA" w:rsidRPr="00615B4F" w:rsidRDefault="00F450FA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7AC4B686" w14:textId="77777777" w:rsidR="00DE5BA4" w:rsidRPr="00615B4F" w:rsidRDefault="00DE5BA4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4BF36602" w14:textId="48C1C417" w:rsidR="00CD1E85" w:rsidRPr="00615B4F" w:rsidRDefault="00CD1E85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2828FD7C" w14:textId="77777777" w:rsidR="001D279F" w:rsidRDefault="001D279F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47F7D2A4" w14:textId="43081561" w:rsidR="00CD1E85" w:rsidRPr="00615B4F" w:rsidRDefault="00F0425E" w:rsidP="002153E8">
      <w:pPr>
        <w:spacing w:before="120" w:after="120" w:line="271" w:lineRule="auto"/>
        <w:jc w:val="both"/>
        <w:rPr>
          <w:rFonts w:cstheme="minorHAnsi"/>
          <w:b/>
        </w:rPr>
      </w:pPr>
      <w:r w:rsidRPr="00615B4F">
        <w:rPr>
          <w:rFonts w:cstheme="minorHAnsi"/>
          <w:b/>
        </w:rPr>
        <w:t xml:space="preserve">Note: </w:t>
      </w:r>
      <w:r w:rsidRPr="00615B4F">
        <w:rPr>
          <w:rFonts w:cstheme="minorHAnsi"/>
        </w:rPr>
        <w:t>Students p</w:t>
      </w:r>
      <w:r w:rsidR="004E6116">
        <w:rPr>
          <w:rFonts w:cstheme="minorHAnsi"/>
        </w:rPr>
        <w:t>l</w:t>
      </w:r>
      <w:r w:rsidRPr="00615B4F">
        <w:rPr>
          <w:rFonts w:cstheme="minorHAnsi"/>
        </w:rPr>
        <w:t xml:space="preserve">anning to pursue the Clinical Research Concentration </w:t>
      </w:r>
      <w:r w:rsidR="00F450FA" w:rsidRPr="00615B4F">
        <w:rPr>
          <w:rFonts w:cstheme="minorHAnsi"/>
        </w:rPr>
        <w:t>must</w:t>
      </w:r>
      <w:r w:rsidRPr="00615B4F">
        <w:rPr>
          <w:rFonts w:cstheme="minorHAnsi"/>
        </w:rPr>
        <w:t xml:space="preserve"> applying </w:t>
      </w:r>
      <w:r w:rsidR="00DD4F01" w:rsidRPr="00615B4F">
        <w:rPr>
          <w:rFonts w:cstheme="minorHAnsi"/>
        </w:rPr>
        <w:t xml:space="preserve">to participate in the </w:t>
      </w:r>
      <w:r w:rsidRPr="00615B4F">
        <w:rPr>
          <w:rFonts w:cstheme="minorHAnsi"/>
        </w:rPr>
        <w:t>program through KGI-COPE application website</w:t>
      </w:r>
      <w:r w:rsidR="00DD4F01" w:rsidRPr="00615B4F">
        <w:rPr>
          <w:rFonts w:cstheme="minorHAnsi"/>
        </w:rPr>
        <w:t xml:space="preserve">. </w:t>
      </w:r>
      <w:r w:rsidR="00F450FA" w:rsidRPr="00615B4F">
        <w:rPr>
          <w:rFonts w:cstheme="minorHAnsi"/>
        </w:rPr>
        <w:t xml:space="preserve"> </w:t>
      </w:r>
      <w:r w:rsidR="00DD4F01" w:rsidRPr="00615B4F">
        <w:rPr>
          <w:rFonts w:cstheme="minorHAnsi"/>
        </w:rPr>
        <w:t>One of the prerequisites to participate in the program is enrollment into</w:t>
      </w:r>
      <w:r w:rsidRPr="00615B4F">
        <w:rPr>
          <w:rFonts w:cstheme="minorHAnsi"/>
        </w:rPr>
        <w:t xml:space="preserve"> ALS 495 Master’s thesis course </w:t>
      </w:r>
      <w:r w:rsidR="00DD4F01" w:rsidRPr="00615B4F">
        <w:rPr>
          <w:rFonts w:cstheme="minorHAnsi"/>
        </w:rPr>
        <w:t xml:space="preserve">by the end of </w:t>
      </w:r>
      <w:r w:rsidRPr="00615B4F">
        <w:rPr>
          <w:rFonts w:cstheme="minorHAnsi"/>
        </w:rPr>
        <w:t>May. See ALS 495 Master’s thesis syllabus form more information.</w:t>
      </w:r>
    </w:p>
    <w:tbl>
      <w:tblPr>
        <w:tblStyle w:val="TableGrid"/>
        <w:tblpPr w:leftFromText="180" w:rightFromText="180" w:vertAnchor="text" w:horzAnchor="margin" w:tblpXSpec="center" w:tblpY="1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1260"/>
      </w:tblGrid>
      <w:tr w:rsidR="00615B4F" w:rsidRPr="00615B4F" w14:paraId="5A50CD16" w14:textId="77777777" w:rsidTr="001703C5">
        <w:tc>
          <w:tcPr>
            <w:tcW w:w="6125" w:type="dxa"/>
            <w:gridSpan w:val="2"/>
            <w:shd w:val="clear" w:color="auto" w:fill="D9D9D9" w:themeFill="background1" w:themeFillShade="D9"/>
          </w:tcPr>
          <w:p w14:paraId="37DDFD72" w14:textId="77777777" w:rsidR="00615B4F" w:rsidRPr="00615B4F" w:rsidRDefault="00615B4F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  <w:b/>
                <w:i/>
              </w:rPr>
              <w:t>TMP Concentration</w:t>
            </w:r>
          </w:p>
        </w:tc>
      </w:tr>
      <w:tr w:rsidR="00615B4F" w:rsidRPr="00615B4F" w14:paraId="20DC8EA9" w14:textId="77777777" w:rsidTr="001703C5">
        <w:tc>
          <w:tcPr>
            <w:tcW w:w="4865" w:type="dxa"/>
          </w:tcPr>
          <w:p w14:paraId="68D8BA8D" w14:textId="77777777" w:rsidR="00615B4F" w:rsidRPr="00615B4F" w:rsidRDefault="00615B4F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 xml:space="preserve">ALS 400 Team Master’s Project </w:t>
            </w:r>
          </w:p>
        </w:tc>
        <w:tc>
          <w:tcPr>
            <w:tcW w:w="1260" w:type="dxa"/>
          </w:tcPr>
          <w:p w14:paraId="5D79B333" w14:textId="77777777" w:rsidR="00615B4F" w:rsidRPr="00615B4F" w:rsidRDefault="00615B4F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cstheme="minorHAnsi"/>
              </w:rPr>
              <w:t>12.0 units</w:t>
            </w:r>
          </w:p>
        </w:tc>
      </w:tr>
      <w:tr w:rsidR="00615B4F" w:rsidRPr="00615B4F" w14:paraId="301E1F95" w14:textId="77777777" w:rsidTr="001703C5"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4859A8C9" w14:textId="77777777" w:rsidR="00615B4F" w:rsidRPr="00615B4F" w:rsidRDefault="00615B4F" w:rsidP="001703C5">
            <w:pPr>
              <w:spacing w:line="271" w:lineRule="auto"/>
              <w:contextualSpacing/>
              <w:jc w:val="both"/>
              <w:rPr>
                <w:rFonts w:cstheme="minorHAnsi"/>
              </w:rPr>
            </w:pPr>
            <w:r w:rsidRPr="00615B4F">
              <w:rPr>
                <w:rFonts w:cstheme="minorHAnsi"/>
              </w:rPr>
              <w:t>ALS 451 Organizational Behavior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2ACF41F" w14:textId="77777777" w:rsidR="00615B4F" w:rsidRPr="00615B4F" w:rsidRDefault="00615B4F" w:rsidP="001703C5">
            <w:pPr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615B4F">
              <w:rPr>
                <w:rFonts w:eastAsia="Times New Roman" w:cstheme="minorHAnsi"/>
                <w:color w:val="000000"/>
              </w:rPr>
              <w:t>3.0 units</w:t>
            </w:r>
          </w:p>
        </w:tc>
      </w:tr>
      <w:tr w:rsidR="00615B4F" w:rsidRPr="00615B4F" w14:paraId="5D9B8194" w14:textId="77777777" w:rsidTr="001703C5">
        <w:tc>
          <w:tcPr>
            <w:tcW w:w="4865" w:type="dxa"/>
            <w:shd w:val="clear" w:color="auto" w:fill="D9D9D9" w:themeFill="background1" w:themeFillShade="D9"/>
          </w:tcPr>
          <w:p w14:paraId="0EAE5433" w14:textId="77777777" w:rsidR="00615B4F" w:rsidRPr="00615B4F" w:rsidRDefault="00615B4F" w:rsidP="001703C5">
            <w:pPr>
              <w:spacing w:line="271" w:lineRule="auto"/>
              <w:jc w:val="both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E0DD6D" w14:textId="77777777" w:rsidR="00615B4F" w:rsidRPr="00615B4F" w:rsidRDefault="00615B4F" w:rsidP="001703C5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615B4F">
              <w:rPr>
                <w:rFonts w:cstheme="minorHAnsi"/>
                <w:b/>
              </w:rPr>
              <w:t>15.0 units</w:t>
            </w:r>
          </w:p>
        </w:tc>
      </w:tr>
    </w:tbl>
    <w:p w14:paraId="692B9959" w14:textId="77777777" w:rsidR="00DD4F01" w:rsidRPr="00615B4F" w:rsidRDefault="00DD4F01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4EE6DE7C" w14:textId="25467FF5" w:rsidR="00DD4F01" w:rsidRPr="00615B4F" w:rsidRDefault="00DD4F01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62A40D5D" w14:textId="77777777" w:rsidR="001703C5" w:rsidRDefault="001703C5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21791115" w14:textId="77777777" w:rsidR="001703C5" w:rsidRDefault="001703C5" w:rsidP="002153E8">
      <w:pPr>
        <w:spacing w:before="120" w:after="120" w:line="271" w:lineRule="auto"/>
        <w:jc w:val="both"/>
        <w:rPr>
          <w:rFonts w:cstheme="minorHAnsi"/>
          <w:b/>
        </w:rPr>
      </w:pPr>
    </w:p>
    <w:p w14:paraId="279AEECB" w14:textId="34375B09" w:rsidR="0047139E" w:rsidRPr="00615B4F" w:rsidRDefault="004A762A" w:rsidP="002153E8">
      <w:pPr>
        <w:spacing w:before="120" w:after="120" w:line="271" w:lineRule="auto"/>
        <w:jc w:val="both"/>
        <w:rPr>
          <w:rFonts w:cstheme="minorHAnsi"/>
        </w:rPr>
      </w:pPr>
      <w:r w:rsidRPr="00615B4F">
        <w:rPr>
          <w:rFonts w:cstheme="minorHAnsi"/>
          <w:b/>
        </w:rPr>
        <w:t xml:space="preserve">Advanced </w:t>
      </w:r>
      <w:r w:rsidR="00F312DD" w:rsidRPr="00615B4F">
        <w:rPr>
          <w:rFonts w:cstheme="minorHAnsi"/>
          <w:b/>
        </w:rPr>
        <w:t xml:space="preserve">and General </w:t>
      </w:r>
      <w:r w:rsidRPr="00615B4F">
        <w:rPr>
          <w:rFonts w:cstheme="minorHAnsi"/>
          <w:b/>
        </w:rPr>
        <w:t xml:space="preserve">Technical </w:t>
      </w:r>
      <w:r w:rsidR="00125F96" w:rsidRPr="00615B4F">
        <w:rPr>
          <w:rFonts w:cstheme="minorHAnsi"/>
          <w:b/>
        </w:rPr>
        <w:t>Elective</w:t>
      </w:r>
      <w:r w:rsidRPr="00615B4F">
        <w:rPr>
          <w:rFonts w:cstheme="minorHAnsi"/>
          <w:b/>
        </w:rPr>
        <w:t>s</w:t>
      </w:r>
      <w:r w:rsidR="00F312DD" w:rsidRPr="00615B4F">
        <w:rPr>
          <w:rFonts w:cstheme="minorHAnsi"/>
          <w:b/>
        </w:rPr>
        <w:t>:</w:t>
      </w:r>
      <w:r w:rsidR="00AF792D" w:rsidRPr="00615B4F">
        <w:rPr>
          <w:rFonts w:cstheme="minorHAnsi"/>
          <w:b/>
        </w:rPr>
        <w:t xml:space="preserve"> </w:t>
      </w:r>
      <w:r w:rsidR="00AF792D" w:rsidRPr="00615B4F">
        <w:rPr>
          <w:rFonts w:cstheme="minorHAnsi"/>
        </w:rPr>
        <w:t>All MS students are required to complete additional units of any KGI courses, 300-level or 400-level to achieve the required 54.0 unit total.</w:t>
      </w:r>
      <w:r w:rsidR="00615B4F" w:rsidRPr="00615B4F">
        <w:rPr>
          <w:rFonts w:cstheme="minorHAnsi"/>
        </w:rPr>
        <w:t xml:space="preserve"> Students are encouraged to consult with the MS program director for course selection. </w:t>
      </w:r>
      <w:r w:rsidR="005A781C" w:rsidRPr="005A781C">
        <w:rPr>
          <w:rFonts w:cstheme="minorHAnsi"/>
        </w:rPr>
        <w:t xml:space="preserve">Not all electives are offered every year. Refer to the </w:t>
      </w:r>
      <w:r w:rsidR="00D10533">
        <w:rPr>
          <w:rFonts w:cstheme="minorHAnsi"/>
        </w:rPr>
        <w:t xml:space="preserve">Henry E. Riggs </w:t>
      </w:r>
      <w:r w:rsidR="005A781C" w:rsidRPr="005A781C">
        <w:rPr>
          <w:rFonts w:cstheme="minorHAnsi"/>
        </w:rPr>
        <w:t>School of Applied Life Science course list for course designation information.</w:t>
      </w:r>
    </w:p>
    <w:p w14:paraId="23B318AE" w14:textId="491B2E11" w:rsidR="00073D23" w:rsidRPr="00615B4F" w:rsidRDefault="005266AE" w:rsidP="002153E8">
      <w:pPr>
        <w:spacing w:before="120" w:after="120" w:line="271" w:lineRule="auto"/>
        <w:jc w:val="both"/>
        <w:rPr>
          <w:rFonts w:cstheme="minorHAnsi"/>
          <w:b/>
        </w:rPr>
      </w:pPr>
      <w:r w:rsidRPr="00615B4F">
        <w:rPr>
          <w:rFonts w:cstheme="minorHAnsi"/>
          <w:b/>
        </w:rPr>
        <w:br w:type="textWrapping" w:clear="all"/>
      </w:r>
    </w:p>
    <w:p w14:paraId="28C68ECC" w14:textId="77777777" w:rsidR="00D8051B" w:rsidRPr="00615B4F" w:rsidRDefault="00073D23" w:rsidP="002153E8">
      <w:pPr>
        <w:tabs>
          <w:tab w:val="left" w:pos="8790"/>
        </w:tabs>
        <w:spacing w:before="120" w:after="120" w:line="271" w:lineRule="auto"/>
        <w:jc w:val="both"/>
        <w:rPr>
          <w:rFonts w:cstheme="minorHAnsi"/>
        </w:rPr>
      </w:pPr>
      <w:r w:rsidRPr="00615B4F">
        <w:rPr>
          <w:rFonts w:cstheme="minorHAnsi"/>
        </w:rPr>
        <w:tab/>
      </w:r>
    </w:p>
    <w:p w14:paraId="6460FBCD" w14:textId="77777777" w:rsidR="00D34F91" w:rsidRPr="00615B4F" w:rsidRDefault="00D34F91" w:rsidP="002153E8">
      <w:pPr>
        <w:tabs>
          <w:tab w:val="left" w:pos="8790"/>
        </w:tabs>
        <w:spacing w:before="120" w:after="120" w:line="271" w:lineRule="auto"/>
        <w:jc w:val="both"/>
        <w:rPr>
          <w:rFonts w:cstheme="minorHAnsi"/>
        </w:rPr>
      </w:pPr>
    </w:p>
    <w:sectPr w:rsidR="00D34F91" w:rsidRPr="00615B4F" w:rsidSect="008566F3">
      <w:headerReference w:type="default" r:id="rId7"/>
      <w:footerReference w:type="default" r:id="rId8"/>
      <w:pgSz w:w="12240" w:h="15840"/>
      <w:pgMar w:top="10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8F25" w14:textId="77777777" w:rsidR="008F556D" w:rsidRDefault="008F556D" w:rsidP="00444BDA">
      <w:pPr>
        <w:spacing w:after="0" w:line="240" w:lineRule="auto"/>
      </w:pPr>
      <w:r>
        <w:separator/>
      </w:r>
    </w:p>
  </w:endnote>
  <w:endnote w:type="continuationSeparator" w:id="0">
    <w:p w14:paraId="3348A470" w14:textId="77777777" w:rsidR="008F556D" w:rsidRDefault="008F556D" w:rsidP="004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5E30" w14:textId="0D04477B" w:rsidR="00833860" w:rsidRPr="00CC4664" w:rsidRDefault="00CC4664" w:rsidP="00CC4664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5BAE">
      <w:rPr>
        <w:noProof/>
      </w:rPr>
      <w:t>2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B96245">
      <w:rPr>
        <w:noProof/>
      </w:rPr>
      <w:t>3</w:t>
    </w:r>
    <w:r w:rsidR="009E5887">
      <w:rPr>
        <w:noProof/>
      </w:rPr>
      <w:t>/</w:t>
    </w:r>
    <w:r w:rsidR="00B96245">
      <w:rPr>
        <w:noProof/>
      </w:rPr>
      <w:t>18</w:t>
    </w:r>
    <w:r w:rsidR="001D279F">
      <w:rPr>
        <w:noProof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3F25" w14:textId="77777777" w:rsidR="008F556D" w:rsidRDefault="008F556D" w:rsidP="00444BDA">
      <w:pPr>
        <w:spacing w:after="0" w:line="240" w:lineRule="auto"/>
      </w:pPr>
      <w:r>
        <w:separator/>
      </w:r>
    </w:p>
  </w:footnote>
  <w:footnote w:type="continuationSeparator" w:id="0">
    <w:p w14:paraId="7485263A" w14:textId="77777777" w:rsidR="008F556D" w:rsidRDefault="008F556D" w:rsidP="004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C271" w14:textId="5D3CE8E3" w:rsidR="00B87240" w:rsidRPr="00985B2A" w:rsidRDefault="00AB5BAE" w:rsidP="00AB5BAE">
    <w:pPr>
      <w:spacing w:after="80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5C0B7" wp14:editId="312F2558">
          <wp:simplePos x="0" y="0"/>
          <wp:positionH relativeFrom="column">
            <wp:posOffset>-17780</wp:posOffset>
          </wp:positionH>
          <wp:positionV relativeFrom="paragraph">
            <wp:posOffset>-91440</wp:posOffset>
          </wp:positionV>
          <wp:extent cx="2832100" cy="478790"/>
          <wp:effectExtent l="0" t="0" r="6350" b="0"/>
          <wp:wrapTight wrapText="bothSides">
            <wp:wrapPolygon edited="0">
              <wp:start x="0" y="0"/>
              <wp:lineTo x="0" y="20626"/>
              <wp:lineTo x="21503" y="20626"/>
              <wp:lineTo x="2150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 t="30956" r="55726" b="31240"/>
                  <a:stretch/>
                </pic:blipFill>
                <pic:spPr bwMode="auto">
                  <a:xfrm>
                    <a:off x="0" y="0"/>
                    <a:ext cx="2832100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  <w:szCs w:val="52"/>
      </w:rPr>
      <w:t xml:space="preserve">   </w:t>
    </w:r>
    <w:r w:rsidR="008566F3" w:rsidRPr="008566F3">
      <w:rPr>
        <w:b/>
        <w:sz w:val="52"/>
        <w:szCs w:val="52"/>
      </w:rPr>
      <w:t xml:space="preserve">MS </w:t>
    </w:r>
    <w:r w:rsidR="008566F3">
      <w:rPr>
        <w:b/>
        <w:sz w:val="52"/>
        <w:szCs w:val="52"/>
      </w:rPr>
      <w:t>in Applied Life Sciences</w:t>
    </w:r>
    <w:r w:rsidR="008566F3" w:rsidRPr="008566F3">
      <w:rPr>
        <w:b/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7"/>
    <w:rsid w:val="00043F4B"/>
    <w:rsid w:val="000467E6"/>
    <w:rsid w:val="00073D23"/>
    <w:rsid w:val="000F010A"/>
    <w:rsid w:val="00125F96"/>
    <w:rsid w:val="00151572"/>
    <w:rsid w:val="00156263"/>
    <w:rsid w:val="001703C5"/>
    <w:rsid w:val="001708AE"/>
    <w:rsid w:val="001A04DB"/>
    <w:rsid w:val="001C04D4"/>
    <w:rsid w:val="001D279F"/>
    <w:rsid w:val="002001EA"/>
    <w:rsid w:val="002153E8"/>
    <w:rsid w:val="0025617B"/>
    <w:rsid w:val="002656B2"/>
    <w:rsid w:val="00285CDB"/>
    <w:rsid w:val="002A2922"/>
    <w:rsid w:val="002E1D0B"/>
    <w:rsid w:val="002E3FF1"/>
    <w:rsid w:val="0032009F"/>
    <w:rsid w:val="00342990"/>
    <w:rsid w:val="003B2F48"/>
    <w:rsid w:val="003E3F9C"/>
    <w:rsid w:val="003F1512"/>
    <w:rsid w:val="00416C92"/>
    <w:rsid w:val="00444BDA"/>
    <w:rsid w:val="004679B9"/>
    <w:rsid w:val="0047139E"/>
    <w:rsid w:val="00491767"/>
    <w:rsid w:val="004A762A"/>
    <w:rsid w:val="004E4DB1"/>
    <w:rsid w:val="004E6116"/>
    <w:rsid w:val="004F25AE"/>
    <w:rsid w:val="005266AE"/>
    <w:rsid w:val="00595949"/>
    <w:rsid w:val="005A781C"/>
    <w:rsid w:val="005B6DCD"/>
    <w:rsid w:val="005D6471"/>
    <w:rsid w:val="00615B4F"/>
    <w:rsid w:val="00662A11"/>
    <w:rsid w:val="00667634"/>
    <w:rsid w:val="00692241"/>
    <w:rsid w:val="006E0CBE"/>
    <w:rsid w:val="006E2FA2"/>
    <w:rsid w:val="007133B5"/>
    <w:rsid w:val="00715CA9"/>
    <w:rsid w:val="00726151"/>
    <w:rsid w:val="0076784D"/>
    <w:rsid w:val="007A1A65"/>
    <w:rsid w:val="007A323A"/>
    <w:rsid w:val="007B2B65"/>
    <w:rsid w:val="00833860"/>
    <w:rsid w:val="008566F3"/>
    <w:rsid w:val="008905CB"/>
    <w:rsid w:val="008F556D"/>
    <w:rsid w:val="00912F1D"/>
    <w:rsid w:val="00915D9F"/>
    <w:rsid w:val="00924328"/>
    <w:rsid w:val="009548D9"/>
    <w:rsid w:val="00985B2A"/>
    <w:rsid w:val="009A7AD1"/>
    <w:rsid w:val="009C7D50"/>
    <w:rsid w:val="009E5887"/>
    <w:rsid w:val="00A02F35"/>
    <w:rsid w:val="00A110F9"/>
    <w:rsid w:val="00A33FC0"/>
    <w:rsid w:val="00A55CC7"/>
    <w:rsid w:val="00A84FEC"/>
    <w:rsid w:val="00AB5BAE"/>
    <w:rsid w:val="00AD21AB"/>
    <w:rsid w:val="00AE27AD"/>
    <w:rsid w:val="00AF3CDC"/>
    <w:rsid w:val="00AF792D"/>
    <w:rsid w:val="00B14C60"/>
    <w:rsid w:val="00B16FEB"/>
    <w:rsid w:val="00B83441"/>
    <w:rsid w:val="00B87240"/>
    <w:rsid w:val="00B879EA"/>
    <w:rsid w:val="00B90E7C"/>
    <w:rsid w:val="00B96245"/>
    <w:rsid w:val="00BD549F"/>
    <w:rsid w:val="00C30F06"/>
    <w:rsid w:val="00C34E2F"/>
    <w:rsid w:val="00C354AD"/>
    <w:rsid w:val="00CB6D02"/>
    <w:rsid w:val="00CC4664"/>
    <w:rsid w:val="00CD1E85"/>
    <w:rsid w:val="00D10533"/>
    <w:rsid w:val="00D162D3"/>
    <w:rsid w:val="00D34F91"/>
    <w:rsid w:val="00D50898"/>
    <w:rsid w:val="00D53AC5"/>
    <w:rsid w:val="00D8051B"/>
    <w:rsid w:val="00DD4F01"/>
    <w:rsid w:val="00DD5606"/>
    <w:rsid w:val="00DE5BA4"/>
    <w:rsid w:val="00DE7E0A"/>
    <w:rsid w:val="00E05324"/>
    <w:rsid w:val="00E56987"/>
    <w:rsid w:val="00E613C8"/>
    <w:rsid w:val="00EA2B30"/>
    <w:rsid w:val="00EC3799"/>
    <w:rsid w:val="00F0425E"/>
    <w:rsid w:val="00F27E13"/>
    <w:rsid w:val="00F312DD"/>
    <w:rsid w:val="00F41B23"/>
    <w:rsid w:val="00F450FA"/>
    <w:rsid w:val="00F87514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F2BE7"/>
  <w15:docId w15:val="{680AB763-B510-44C8-95B2-6F5CDF0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67"/>
  </w:style>
  <w:style w:type="paragraph" w:styleId="Heading1">
    <w:name w:val="heading 1"/>
    <w:basedOn w:val="Normal"/>
    <w:next w:val="Normal"/>
    <w:link w:val="Heading1Char"/>
    <w:uiPriority w:val="9"/>
    <w:qFormat/>
    <w:rsid w:val="00954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DA"/>
  </w:style>
  <w:style w:type="paragraph" w:styleId="Footer">
    <w:name w:val="footer"/>
    <w:basedOn w:val="Normal"/>
    <w:link w:val="Foot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DA"/>
  </w:style>
  <w:style w:type="paragraph" w:styleId="NoSpacing">
    <w:name w:val="No Spacing"/>
    <w:uiPriority w:val="1"/>
    <w:qFormat/>
    <w:rsid w:val="009548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915D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5D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5D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2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6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28C27-043F-4F3F-ADC3-88DCDBA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Janssen</dc:creator>
  <cp:lastModifiedBy>Anastasia Levitin</cp:lastModifiedBy>
  <cp:revision>2</cp:revision>
  <cp:lastPrinted>2015-10-12T18:52:00Z</cp:lastPrinted>
  <dcterms:created xsi:type="dcterms:W3CDTF">2019-03-21T15:03:00Z</dcterms:created>
  <dcterms:modified xsi:type="dcterms:W3CDTF">2019-03-21T15:03:00Z</dcterms:modified>
</cp:coreProperties>
</file>